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a7aa" w14:textId="564a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Көкшетау қаласында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2012 жылғы 24 желтоқсандағы № А-12/2234 қаулысы. Ақмола облысының Әділет департаментінде 2013 жылғы 15 қаңтарда № 3604 болып тіркелді. Күші жойылды - Ақмола облысы Көкшетау қаласы әкімдігінің 2014 жылғы 31 қаңтардағы А-1/207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Көкшетау қаласы әкімдігінің 31.01.2014 А-1/207 (қол қойылған күннен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2001 жылғы 19 маусымдағы № 836 «Қазақстан Республикасының 2001 жылғы 23 қаңтардағы «Халықты жұмыспен қамту туралы»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сонымен қатар жұмыссыз азаматтардың уақытша жұмыспен қамтылуын қамтамасыз ету мақсатында Көкшетау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Көкшетау қаласында қоғамдық жұмыстары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Көкшетау қаласы ұйымдарының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жағдайы, еңбек ақысының мөлшері және оларды қаржыландыру көздері бекітілсін, қоғамдық жұмыстарға сұраныс және ұсыныс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«Көкшетау қаласының жұмыспен қамту және әлеуметтік бағдарламалар бөлімі» мемлекеттік мекемесіне осы қаулыдан туындаған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Көкшетау қаласы әкімінің орынбасары А.Б.Әміреноваға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Әділет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Е.Жұмаш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прокуроры               Е.Бөлегенов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А-12/2234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жылы Көкшетау қаласының ұйымдары,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 мен нақты</w:t>
      </w:r>
      <w:r>
        <w:br/>
      </w:r>
      <w:r>
        <w:rPr>
          <w:rFonts w:ascii="Times New Roman"/>
          <w:b/>
          <w:i w:val="false"/>
          <w:color w:val="000000"/>
        </w:rPr>
        <w:t>
жағдайы, қатысушылардың еңбек ақысының мөлшері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қаржыландыру көздерінің,сұраныс</w:t>
      </w:r>
      <w:r>
        <w:br/>
      </w:r>
      <w:r>
        <w:rPr>
          <w:rFonts w:ascii="Times New Roman"/>
          <w:b/>
          <w:i w:val="false"/>
          <w:color w:val="000000"/>
        </w:rPr>
        <w:t>
және ұсыныстардың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5319"/>
        <w:gridCol w:w="3565"/>
        <w:gridCol w:w="3267"/>
      </w:tblGrid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</w:tr>
      <w:tr>
        <w:trPr>
          <w:trHeight w:val="24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«Көкше Жәрдем»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24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«Тазалық»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«Қалалық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Кітап қорын қалпына келтіру, техникалық өңдеуге көмек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 құжат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«Көкшетау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 құжат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«Красный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 селолық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2.Үйлерді аралау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 үй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Үйлерді аралау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үй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 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Көкшетау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 құжат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қаласының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құжат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құжат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бөлімі» мемлекеттік мекемесі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құжат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қаласының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құжат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«Көкше»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кәсіпорны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 құжат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«Достар» мәдениет сарайы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кәсіпорны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құжат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«Көкшетау Жылу»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кәсіпорны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құжат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прокуратурасы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 құжат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құқылы «Көкшетау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кәсіпорын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құжат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құжат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1563"/>
        <w:gridCol w:w="1585"/>
        <w:gridCol w:w="3135"/>
        <w:gridCol w:w="3264"/>
      </w:tblGrid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