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3b63" w14:textId="de93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2012 жылғы 26 наурыздағы № А-3/118 қаулысы. Ақмола облысы Степногорск қаласының Әділет басқармасында 2012 жылғы 9 сәуірде № 1-2-159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Қазақстан Республикасының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негізге алып,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 немесе босатуға құқығы жоқ он сегіз жастан жиырма жеті жасқа дейінгі ер азаматтарды, сондай – ақ оқу орындарынан шығарылған, жиырма жеті жасқа толмаған және әскерге шақыру бойынша белгіленген әскери қызмет мерзімін өткерген азаматтарды 2012 жылдың сәуір-маусымында және қазан-желтоқсанында мерзімді әскери қызметке шақыруды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Н.Асылбеков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