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7e6" w14:textId="84b9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мен демонстрациялар өткізу тәртібін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22 қарашадағы № 90 шешімі. Ақтөбе облысы Әділет департаментінде 2012 жылғы 23 қарашада № 3450 тіркелді. Күші жойылды - Ақтөбе облысы Ақтөбе қалалық мәслихатының 2016 жылғы 8 сәуірдегі № 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қалалық мәслихатының 08.04.2016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мен демонстрациялар өткізу тәртібін қосымша регламенттеу мақсатында, Ақтөбе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қаласы аумағында бейбіт жиналыстар, митингілер, шерулер, пикеттер мен демонстрациялар өткізу үшін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селосында орналасқан қалалық "Геолог" мәдениет Үйі ғимараты жанындағы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Кенес Нокин атындағы ауылдың демалыс саябағы;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Сазды қалалық мәдениет Үйі ғимараты жанындағы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А.Самойленко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