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115d" w14:textId="9281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денсаулық сақтау, әлеуметтік қамсыздандыру, білім беру, мәдениет, спорт және ветеринария мемлекеттік ұйымдары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8 тамыздағы № 59 шешімі. Ақтөбе облысының Әділет департаментінде 2012 жылғы 29 тамызда № 3-6-149 тіркелді. Күші жойылды - Ақтөбе облысы Қарғалы аудандық мәслихатының 2013 жылғы 27 маусымдағы № 123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27.06.2013 № 123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Қарғалы ауданының ауылдық елдi мекендерінде тұратын және жұмыс істейтiн денсаулық сақтау, әлеуметтік қамсыздандыру, білім беру, мәдениет, спорт және ветеринария ұйымдары мамандарына отын сатып алу үшін аудандық бюджет қаражаты есебінен 5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«Аудандық экономика, бюджетті жоспарлау және кәсіпкерлік бөлімі» мемлекеттік мекемесі әлеуметтік көмектің берілуіне қажетті қаражатты қарастырсын.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осы шешімнің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Н. Смолинец                    Х. Жылқыбеков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