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276b" w14:textId="9b82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әлеуметтік қолдау ұсыну туралы</w:t>
      </w:r>
    </w:p>
    <w:p>
      <w:pPr>
        <w:spacing w:after="0"/>
        <w:ind w:left="0"/>
        <w:jc w:val="both"/>
      </w:pPr>
      <w:r>
        <w:rPr>
          <w:rFonts w:ascii="Times New Roman"/>
          <w:b w:val="false"/>
          <w:i w:val="false"/>
          <w:color w:val="000000"/>
          <w:sz w:val="28"/>
        </w:rPr>
        <w:t>Қостанай облысы Жітіқара ауданы мәслихатының 2012 жылғы 28 маусымдағы № 49 шешімі. Қостанай облысы Жітіқара ауданының Әділет басқармасында 2012 жылғы 12 шілдеде № 9-10-189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 және өз әрекеттерін 2012 жылдың 1 шілдесінен бастап туындаған қатынастарға таратады.</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төрайымы                         Г. Таликбаева</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ауыл шаруашылығы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 Н. Кушербаев</w:t>
      </w:r>
    </w:p>
    <w:p>
      <w:pPr>
        <w:spacing w:after="0"/>
        <w:ind w:left="0"/>
        <w:jc w:val="both"/>
      </w:pPr>
      <w:r>
        <w:rPr>
          <w:rFonts w:ascii="Times New Roman"/>
          <w:b w:val="false"/>
          <w:i w:val="false"/>
          <w:color w:val="000000"/>
          <w:sz w:val="28"/>
        </w:rPr>
        <w:t>      </w:t>
      </w:r>
      <w:r>
        <w:rPr>
          <w:rFonts w:ascii="Times New Roman"/>
          <w:b w:val="false"/>
          <w:i/>
          <w:color w:val="000000"/>
          <w:sz w:val="28"/>
        </w:rPr>
        <w:t>"Жітіқара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 Г. Жидебаева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