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0357" w14:textId="dae0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28 шілдедегі № 156 "Жер салығының базалық ставкаларының өзгерістері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2012 жылғы 24 шілдедегі № 51 шешімі. Қостанай облысының Әділет департаментінде 2012 жылғы 16 тамызда № 9-11-143 тіркелді. Күші жойылды - Қостанай облысы Қамысты ауданы мәслихатының 2015 жылғы 3 тамыздағы № 300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Қамысты ауданы мәслихатының 03.08.2015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"Салық және бюджетке төленетін басқа да міндетті төлемдер туралы (Салық кодексі)" Кодексінің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"Жер салығының базалық ставкаларының өзгерістері туралы" 2009 жылғы 28 шілдедегі 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9-11-95 нөмірімен тіркелген, 2009 жылғы 11 қыркүйекте "Новый путь - Бозторғай"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Автотұрақтар (паркингтер), автомобильге май құю станциялары үшін бөлінген (бөліп шығарылған) жерлерді қоспағанда, Қазақстан Республикасының 2008 жылғы 10 желтоқсандағы "Салық және бюджетке төленетін басқа да міндетті төлемдер туралы (Салық кодексі)" Кодексінің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ставкалары 50 процентке ұлғайтылсын.".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Рақымжанов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Қамысты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Карбозов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