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51e3" w14:textId="00a5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21 қазандағы № 374 шешіміне "Тұрғын үй көмегін тағайындау Ережесі туралы"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2012 жылғы 24 шілдедегі № 72 шешімі. Қостанай облысының Әділет департаментінде 2012 жылғы 13 тамызда № 9-15-180 тіркелді. Күші жойылды - Қостанай облысы Меңдіқара ауданы мәслихатының 2014 жылғы 22 сәуірдегі № 252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Меңдіқара ауданы мәслихатының 22.04.2014 № 252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>, "Тұрғын үй көмегін алуға, сондай-ақ мемлекеттік тұрғын үй қорынан үйді немесе жеке тұрғын қорынан жергілікті атқарушы орган жалдаған тұрғын үйді алуға үміткер отбасының (азаматтың) жиынтық табысын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Қазақстан Республикасы Құрылыс және тұрғын үй-коммуналдық шаруашылық істері агенттігі Төрағасының 2011 жылғы 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"Тұрғын үй көмегін тағайындау Ережесі туралы" мәслихаттың 2010 жылғы 21 қазандағы 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тізілімінде № 9-15-137 тіркелген, 2010 жылғы 18 қарашада "Меңдіқара үні" аудандық газетінде жарияланған)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 шешіммен бекітілген, тұрғын үй көмегін тағайындау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15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"13. "Тұрғын үй көмегін алуға, сондай-ақ мемлекеттік тұрғын үй қорынан тұрғын үйді немесе жеке тұрғын үй қорынан жергілікті атқарушы орган жалдаған тұрғын үйді алуға үміткер отбасының (азаматтың) жиынтық табысын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Қазақстан Республикасы Құрылыс және тұрғын үй-коммуналдық шаруашылық істері агенттігі Төрағасының 2011 жылғы 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Нормативтік құқықтық актілерді мемлекеттік тіркеу тізілімінде 7412 нөмірімен тіркелген, тұрғын үй көмегін тағайындауға алдынғы тоқсандағы өтініш тоқсандағы отбасының (азаматтың) жиындық табысы уәкілетті орғанмен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Белгіленген нормалар шегіндегі шекті жол берілетін шығыстар үлесі отбасының (азаматтың) жиынтық табысының 10 пайызы мөлшерінде белгіленеді.".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О. Нұрабаев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В. Гребенюк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