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e2e0" w14:textId="071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2012 жылғы 26 қаңтардағы "Ақсу қаласында 2012 жылға арналған қоғамдық жұмыстарды ұйымдастыру туралы" N 84/2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2012 жылғы 24 мамырдағы N 367/4 қаулысы. Павлодар облысының Әділет департаментінде 2012 жылғы 05 маусымда N 12-2-200 тіркелді. Күші жойылды - қолданылу мерзімінің өтуіне байланысты (Павлодар облысы Ақсу қалалық әкімі аппаратының 2014 жылғы 06 қазандағы N 1-22/1253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Ақсу қалалық әкімі аппаратының 06.10.2014 N 1-22/1253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әкімдігінің 2012 жылғы 26 қаңтардағы "Ақсу қаласында 2012 жылға арналған қоғамдық жұмыстарды ұйымдастыру туралы" N 84/2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12-2-194 болып тіркелді және 2012 жылғы 20 наурызда N 22-23 "Ақжол - Новый путь" қалалық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 өтетін ұйымдардың (келісім бойынша), қоғамдық жұмыстардың түрлерін, көлемі мен жағдайларын, қатысушылардың еңбегіне төленетін ақының мөлшелері және оларды қаржыландыру көздерін, қоғамдық жұмыстарға деген сұраныстар мен ұсыныстарды анықтау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реттік нөмірі 37-жолмен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Б.З. 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мамырдағы N 367/4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өтетін ұйымдардың, оның түрлерінің,</w:t>
      </w:r>
      <w:r>
        <w:br/>
      </w:r>
      <w:r>
        <w:rPr>
          <w:rFonts w:ascii="Times New Roman"/>
          <w:b/>
          <w:i w:val="false"/>
          <w:color w:val="000000"/>
        </w:rPr>
        <w:t>
көлемінің және қойылатын нақты шарттардың,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еңбекақысының мөлшері және оларды қаржыландыру көздерінің,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деген сұраныстар мен ұсыныстардың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09"/>
        <w:gridCol w:w="3639"/>
        <w:gridCol w:w="1858"/>
        <w:gridCol w:w="1265"/>
        <w:gridCol w:w="1477"/>
        <w:gridCol w:w="1478"/>
      </w:tblGrid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қоғамдық жұмыстардың көлемі және қойылатын нақты шарттары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(мәлімделген қажеттілік)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(бекітілді), адам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"ЖӘРДЕМ" қоғамдық қоры (келісім бойынша)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Волонтерлер, 8 сағаттық жұмыс күн, 5 күндік жұмыс аптасы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мөлшері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