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49db" w14:textId="5134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30 қаңтардағы N 10/2 шешімі. Павлодар облысының Әділет департаментінде 2012 жылғы 08 ақпанда N 12-5-102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106–бабының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(ІV сайланған ХLІ сессия) 2012 жылғы 14 қаңтардағы N 411/41 "Облыстық мәслихаттың (ІV сайланған ХL сессия) 2011 жылғы 6 желтоқсандағы N 404/40 "2012 – 2014 жылдарға арналған облыстық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3198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"2995218" деген сандар "4251333"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"2273446" деген сандар "3529561"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"2995218" деген сандар "4310073"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43681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"10580"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"2432" деген сандар "-113001"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"-2432" деген сандар "113001"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 бюджетінде республикалық бюджеттен нысаналы ағымдағы трансферттердің көлемі мына мөлшерде белгіленсін: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57542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жетім баланы (жетім балаларды) және ата–аналарының қамқорынсыз қалған баланы (балаларды) күтіп – ұстауға асыраушыларына ай сайынғы ақшалай қаражат төлемдеріне – 5707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үйде оқытылатын мүгедек балаларды жабдықпен, бағдарламалық қамтыммен қамтамасыз етуге – 4350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құрал – жабдықтармен жарақтандыруға – 8194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мектеп мұғалімдеріне біліктілік санаты үшін қосымша ақының мөлшерін ұлғайтуға - 27477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көрсетуі жөніндегі шараларды іске асыруға – 5883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іс–шаралар жүргізуге – 52567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іс–шараларды іске асыруға – 4412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2020" бағдарламасының іс–шараларын іске асыруға – 21169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2012 жылға арналған аудан бюджетінде республикалық бюджеттен нысаналы даму трансферттердің көлемі мына мөлшерде белгіленсін: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жүйесін дамытуға – 906826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2012 жылға арналған аудан бюджетінде республикалық бюджеттен бюджеттік кредиттер мына мөлшерде белгіленсін: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46113 мың теңге;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2012 жылға арналған аудан бюджетінде облыстық бюджеттен нысаналы даму трансферттердің көлемі мына мөлшерде белгіленсін: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жүйесін дамытуға – 161988 мың теңге;";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қоса берілген 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(Г. Тоқпаева)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(ІV сайланған кезекті ХLІII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