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8b8f" w14:textId="a99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24 қазандағы N 317/10 қаулысы. Павлодар облысының Әділет департаментінде 2012 жылғы 13 қарашада N 3260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5"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2012 жылғы 24 қазанындағы</w:t>
      </w:r>
      <w:r>
        <w:br/>
      </w:r>
      <w:r>
        <w:rPr>
          <w:rFonts w:ascii="Times New Roman"/>
          <w:b w:val="false"/>
          <w:i w:val="false"/>
          <w:color w:val="000000"/>
          <w:sz w:val="28"/>
        </w:rPr>
        <w:t xml:space="preserve">
N 317/10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Стандарт),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Қазақстан Республикасы Үкіметінің 2010 жылғы 8 ақпандағы N 76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Ленин көшесі, 70, 8-71834-91-7-41,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арқылы немесе Өтініш берушіде электрондық-цифрлық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w:t>
      </w:r>
      <w:r>
        <w:br/>
      </w:r>
      <w:r>
        <w:rPr>
          <w:rFonts w:ascii="Times New Roman"/>
          <w:b w:val="false"/>
          <w:i w:val="false"/>
          <w:color w:val="000000"/>
          <w:sz w:val="28"/>
        </w:rPr>
        <w:t>
      Бөлімге өтінген жағдайда не порталда – күнтізбелік отыз күн;</w:t>
      </w:r>
      <w:r>
        <w:br/>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p>
    <w:bookmarkEnd w:id="4"/>
    <w:bookmarkStart w:name="z14"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5"/>
    <w:bookmarkStart w:name="z15" w:id="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Бөлімде немесе Орталықта - мыналар көрсетілген, сәйкес құжаттарды қабылдау туралы қолхат:</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21" w:id="7"/>
    <w:p>
      <w:pPr>
        <w:spacing w:after="0"/>
        <w:ind w:left="0"/>
        <w:jc w:val="left"/>
      </w:pPr>
      <w:r>
        <w:rPr>
          <w:rFonts w:ascii="Times New Roman"/>
          <w:b/>
          <w:i w:val="false"/>
          <w:color w:val="000000"/>
        </w:rPr>
        <w:t xml:space="preserve"> 
3. Мемлекеттік қызметтерді</w:t>
      </w:r>
      <w:r>
        <w:br/>
      </w:r>
      <w:r>
        <w:rPr>
          <w:rFonts w:ascii="Times New Roman"/>
          <w:b/>
          <w:i w:val="false"/>
          <w:color w:val="000000"/>
        </w:rPr>
        <w:t>
көрсететін тұлғалардың жауапкершілігі</w:t>
      </w:r>
    </w:p>
    <w:bookmarkEnd w:id="7"/>
    <w:bookmarkStart w:name="z22"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23" w:id="9"/>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олардың кезегі"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9"/>
    <w:bookmarkStart w:name="z24" w:id="1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820"/>
        <w:gridCol w:w="1648"/>
        <w:gridCol w:w="2271"/>
        <w:gridCol w:w="1971"/>
        <w:gridCol w:w="167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дайындау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 туралы шешімге қол қою</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күн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олардың кезегі"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11"/>
    <w:bookmarkStart w:name="z26"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w:t>
      </w:r>
      <w:r>
        <w:br/>
      </w:r>
      <w:r>
        <w:rPr>
          <w:rFonts w:ascii="Times New Roman"/>
          <w:b/>
          <w:i w:val="false"/>
          <w:color w:val="000000"/>
        </w:rPr>
        <w:t>
өзара байланысуын көрсететін кесте</w:t>
      </w:r>
    </w:p>
    <w:bookmarkEnd w:id="12"/>
    <w:p>
      <w:pPr>
        <w:spacing w:after="0"/>
        <w:ind w:left="0"/>
        <w:jc w:val="both"/>
      </w:pPr>
      <w:r>
        <w:drawing>
          <wp:inline distT="0" distB="0" distL="0" distR="0">
            <wp:extent cx="66040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0" cy="666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