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050c" w14:textId="ce30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XXXXX сессиясының 2011 жылғы 07 желтоқсандағы № 492 "2012 жылға арналған ерекше қорғалатын табиғи аумақ "Медеу" Мемлекеттік өңірлік табиғи паркін пайдалануға төлемақы ставкаларын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ІІІ сессиясының 2012 жылғы 29 ақпандағы № 8 шешімі. Алматы қаласы Әділет департаментінде 2012 жылғы 12 сәуірде N 929 тіркелді. Күші жойылды - Алматы қаласы мәслихатының 2012 жылғы 12 желтоқсандағы № 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мәслихатының 12.12.2012 № 85 шешімімен (01.01.2013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туралы» (Салық кодексі) Кодексінің 510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2006 жылғы 07 шілдедегі «Ерекше қорғалатын табиғи аумақтар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мәслихатының 2011 жылғы 07 желтоқсандағы XXXXX сессиясының «2012 жылға арналған ерекше қорғалатын табиғи аумақ «Медеу» Мемлекеттік өңірлік табиғи паркін пайдалануға төлемақы ставкаларын бекіту туралы» № 492 (2011 жылғы 30 желтоқсандағы № 912 нормативтік құқықтық актілерді мемлекеттік тіркеу тізілімінде тіркелген, 2011 жылғы 31 желтоқсандағы «Алматы ақшамы» газетінің № 159 (4561) санында және 2011 жылғы 31 желтоқсандағы «Вечерний Алматы» газетінің № 161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«Төлемақы ставкалары» бағаны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Төлемақы ставкалары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мәслихатының экономика және бюджет жөніндегі тұрақты депутаттық комиссиясының төрағасы С. Козловқа және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сессиясының төрағасы                      Х. Берғаріпов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