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7bc9" w14:textId="52f7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31 қазандағы N 282 қаулысы. Солтүстік Қазақстан облысының Әділет департаментінде 2012 жылғы 29 қарашада N 1975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Үкiметiнiң 2012 жылғы 27 шілдедегі № 981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Аққайың ауданы әкімінің орынбасары С.Ө. 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Әкімі                    Р. Елубаев</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«31» қазандағы</w:t>
      </w:r>
      <w:r>
        <w:br/>
      </w:r>
      <w:r>
        <w:rPr>
          <w:rFonts w:ascii="Times New Roman"/>
          <w:b w:val="false"/>
          <w:i w:val="false"/>
          <w:color w:val="000000"/>
          <w:sz w:val="28"/>
        </w:rPr>
        <w:t>
№ 282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«Аққайың аудандық білім, спорт және дене шынықтыру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ауданның дене шынықтыру және спорт мәселесі бойынша жергілікті атқарушы органы «Аққайың аудандық білім, спорт және дене шынықтыру бөлімі»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алушының тұрғылықты орны бойынша Солтүстік Қазақстан облысы бойынша «Халыққа қызмет көрсету орталығы» республикалық мемлекеттік кәсіпорны филиалының Аққайың аудандық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 м.а.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министрі м.а.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қаулысымен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roo.akkain.kz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адамдар үшін жағдайлар көзделген (күтуге арналған орындықтар, стенділер).</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 алу үшін тұтынушы Орталыққа мынадай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1)осы Регламенттің 6 қосымшасына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мәліметтері: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электрондық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(семинарлар, курстардан өтуін) Орталыққа ұсынады.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Алушыдан өтініш алған сәттен бастап көрсетілген мемлекеттік қызметтің нәтижесін беру сәтіне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құжаттарды Орталықтан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қарауды жүзеге асырады, жергілікті атқарушы органның жауапты орындаушысына құжаттарды жолдайды;</w:t>
      </w:r>
      <w:r>
        <w:br/>
      </w:r>
      <w:r>
        <w:rPr>
          <w:rFonts w:ascii="Times New Roman"/>
          <w:b w:val="false"/>
          <w:i w:val="false"/>
          <w:color w:val="000000"/>
          <w:sz w:val="28"/>
        </w:rPr>
        <w:t>
      6) жергілікті атқарушы органның жауапты орындаушысы құжаттардың толықтығын мен шүбәсіздігін тексеруді жүзеге асырады, спорттық атақтарды, разрядтарды беру жөніндегі комиссияның (бұдан әрі-Комиссия) қарауына жолдайды;</w:t>
      </w:r>
      <w:r>
        <w:br/>
      </w:r>
      <w:r>
        <w:rPr>
          <w:rFonts w:ascii="Times New Roman"/>
          <w:b w:val="false"/>
          <w:i w:val="false"/>
          <w:color w:val="000000"/>
          <w:sz w:val="28"/>
        </w:rPr>
        <w:t>
      7) Комиссия ұсынылған құжаттарды қарайды. Отырыста қараған жағдайда комиссия спорттық атақты, разрядты және спорт төрешісі санатын беру туралы немесе спорттық атақты, разрядты және спорт төрешісі санатын беруге ұсынылған құжаттарды қараудан бас тарту туралы шешім қабылдайды;</w:t>
      </w:r>
      <w:r>
        <w:br/>
      </w:r>
      <w:r>
        <w:rPr>
          <w:rFonts w:ascii="Times New Roman"/>
          <w:b w:val="false"/>
          <w:i w:val="false"/>
          <w:color w:val="000000"/>
          <w:sz w:val="28"/>
        </w:rPr>
        <w:t>
      8) жергілікті атқарушы органның басшысы Комиссия хаттамасының негізінде, Комиссия отырысын өткізген күннен үш жұмыс күні ішінде спорттық атақтарды немесе спорттық разрядтарды беру туралы бұйрық шығарады;</w:t>
      </w:r>
      <w:r>
        <w:br/>
      </w:r>
      <w:r>
        <w:rPr>
          <w:rFonts w:ascii="Times New Roman"/>
          <w:b w:val="false"/>
          <w:i w:val="false"/>
          <w:color w:val="000000"/>
          <w:sz w:val="28"/>
        </w:rPr>
        <w:t>
      9) жергілікті атқарушы органның жауапты маманы үзіндіні немесе электронды құжат үлгісінде мемлекеттік қызмет көрсетуден бас тарту туралы дәлелді жауапты ресімдейді және жергілікті атқарушы органның басшысына қол қою үшін жолдайды;</w:t>
      </w:r>
      <w:r>
        <w:br/>
      </w:r>
      <w:r>
        <w:rPr>
          <w:rFonts w:ascii="Times New Roman"/>
          <w:b w:val="false"/>
          <w:i w:val="false"/>
          <w:color w:val="000000"/>
          <w:sz w:val="28"/>
        </w:rPr>
        <w:t>
      10) жергілікті атқарушы органның басшысы үзіндіге немесе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немесе электронды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разрядтарды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Комиссия мүшелері, Орталықтың басшылары, лауазымды тұлғалары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7"/>
    <w:bookmarkStart w:name="z27" w:id="8"/>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3123"/>
        <w:gridCol w:w="4067"/>
        <w:gridCol w:w="2556"/>
      </w:tblGrid>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білім, дене шынықтыру және спорт бөлімі» мемлекеттік мекемесі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Труд көшесі, 16</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2-10-05</w:t>
            </w:r>
          </w:p>
        </w:tc>
      </w:tr>
    </w:tbl>
    <w:bookmarkStart w:name="z28" w:id="9"/>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161"/>
        <w:gridCol w:w="3031"/>
        <w:gridCol w:w="2856"/>
        <w:gridCol w:w="2383"/>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Аққайың аудандық бөлімі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 Труд көшесі, 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2-25-86</w:t>
            </w:r>
          </w:p>
        </w:tc>
      </w:tr>
    </w:tbl>
    <w:bookmarkStart w:name="z29" w:id="10"/>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жоғары деңгейдегі санаты жоқ жаттықтырушы </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жоғары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бірінші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екінші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жөніндегі ведомоствоның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_____________________________________________________________________Туған жылы</w:t>
      </w:r>
      <w:r>
        <w:br/>
      </w:r>
      <w:r>
        <w:rPr>
          <w:rFonts w:ascii="Times New Roman"/>
          <w:b w:val="false"/>
          <w:i w:val="false"/>
          <w:color w:val="000000"/>
          <w:sz w:val="28"/>
        </w:rPr>
        <w:t>
_____________________________________________________________________Спорттық атағы 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_____________________________________________________________________Жаттықтырушы-оқытушылық жұмыс өтілі ____________________________________________________________________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Маған _________________________________________________________________________________________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санаймын:___________________________________________________________________________________________________________________</w:t>
      </w:r>
      <w:r>
        <w:br/>
      </w:r>
      <w:r>
        <w:rPr>
          <w:rFonts w:ascii="Times New Roman"/>
          <w:b w:val="false"/>
          <w:i w:val="false"/>
          <w:color w:val="000000"/>
          <w:sz w:val="28"/>
        </w:rPr>
        <w:t>
«___» ____________ 20___ ж.</w:t>
      </w:r>
      <w:r>
        <w:br/>
      </w:r>
      <w:r>
        <w:rPr>
          <w:rFonts w:ascii="Times New Roman"/>
          <w:b w:val="false"/>
          <w:i w:val="false"/>
          <w:color w:val="000000"/>
          <w:sz w:val="28"/>
        </w:rPr>
        <w:t>
__________________________</w:t>
      </w:r>
    </w:p>
    <w:bookmarkStart w:name="z33" w:id="1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ішінде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9-қосымша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w:t>
      </w:r>
    </w:p>
    <w:p>
      <w:pPr>
        <w:spacing w:after="0"/>
        <w:ind w:left="0"/>
        <w:jc w:val="both"/>
      </w:pPr>
      <w:r>
        <w:drawing>
          <wp:inline distT="0" distB="0" distL="0" distR="0">
            <wp:extent cx="135128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12800" cy="6121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