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d859" w14:textId="59bd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мемлекеттiк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2012 жылғы 26 желтоқсандағы N 337 қаулысы. Солтүстік Қазақстан облысының Әділет департаментінде 2013 жылғы 1 ақпанда N 2146 болып тіркелді. Күші жойылды - Солтүстік Қазақстан облысы Аққайың аудандық әкімдігінің 2013 жылғы 24 мамырдағы N 141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әкімдігінің 24.05.2013 N 141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Аққайың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қаулысының орындалуын бақылау Солтүстік Қазақстан облысы Аққайың ауданы әкімінің орынбасары С.Ө. Мұқановқа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Р. Елубаев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26 желтоқсан</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26 желтоқсандағы № 337</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мемлекеттiк қызмет көрсету регламенті</w:t>
      </w:r>
    </w:p>
    <w:bookmarkEnd w:id="3"/>
    <w:bookmarkStart w:name="z7" w:id="4"/>
    <w:p>
      <w:pPr>
        <w:spacing w:after="0"/>
        <w:ind w:left="0"/>
        <w:jc w:val="left"/>
      </w:pPr>
      <w:r>
        <w:rPr>
          <w:rFonts w:ascii="Times New Roman"/>
          <w:b/>
          <w:i w:val="false"/>
          <w:color w:val="000000"/>
        </w:rPr>
        <w:t xml:space="preserve"> 
1. Жалпы ережелері</w:t>
      </w:r>
    </w:p>
    <w:bookmarkEnd w:id="4"/>
    <w:bookmarkStart w:name="z8" w:id="5"/>
    <w:p>
      <w:pPr>
        <w:spacing w:after="0"/>
        <w:ind w:left="0"/>
        <w:jc w:val="both"/>
      </w:pPr>
      <w:r>
        <w:rPr>
          <w:rFonts w:ascii="Times New Roman"/>
          <w:b w:val="false"/>
          <w:i w:val="false"/>
          <w:color w:val="000000"/>
          <w:sz w:val="28"/>
        </w:rPr>
        <w:t>      1.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қызметі (бұдан әрі – қызмет) «Солтүстік Қазақстан облысы Аққайың аудандық білім, дене шынықтыру және спорт бөлімі» мемлекеттік мекемесімен (бұдан әрі – уәкілетті орган/қызмет беруші) Халыққа қызмет көрсету орталықтары (бұдан әрі – Орталық),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2. Қызмет Қазақстан Республикасы Үкіметінің 2012 жылғы 31 тамыздағы № 1119 қаулысымен бекітілген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 </w:t>
      </w:r>
      <w:r>
        <w:br/>
      </w:r>
      <w:r>
        <w:rPr>
          <w:rFonts w:ascii="Times New Roman"/>
          <w:b w:val="false"/>
          <w:i w:val="false"/>
          <w:color w:val="000000"/>
          <w:sz w:val="28"/>
        </w:rPr>
        <w:t>
</w:t>
      </w:r>
      <w:r>
        <w:rPr>
          <w:rFonts w:ascii="Times New Roman"/>
          <w:b w:val="false"/>
          <w:i w:val="false"/>
          <w:color w:val="000000"/>
          <w:sz w:val="28"/>
        </w:rPr>
        <w:t xml:space="preserve">
      3. Қызметті автоматтандыру дәрежесі: жартылай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 көрсетудің түрі: транзакциялық. </w:t>
      </w:r>
      <w:r>
        <w:br/>
      </w:r>
      <w:r>
        <w:rPr>
          <w:rFonts w:ascii="Times New Roman"/>
          <w:b w:val="false"/>
          <w:i w:val="false"/>
          <w:color w:val="000000"/>
          <w:sz w:val="28"/>
        </w:rPr>
        <w:t>
</w:t>
      </w:r>
      <w:r>
        <w:rPr>
          <w:rFonts w:ascii="Times New Roman"/>
          <w:b w:val="false"/>
          <w:i w:val="false"/>
          <w:color w:val="000000"/>
          <w:sz w:val="28"/>
        </w:rPr>
        <w:t>
      5.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осы электрондық мемлекеттiк қызмет көрсету регламентінде қолданылатын ұғымдар мен қысқартулар (бұдан әрі – Регламент):</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үкiмет» веб-порталы – нормативтік құқықтық базаны қоса алғанда, барлық шоғырландырылған үкiметтiк ақпаратқа және электрондық мемлекеттiк қызметтерге қолжетімділіктің бiрыңғай терезесiн білдіретін ақпараттық жүйе (бұдан әрі – ЭҮП);</w:t>
      </w:r>
      <w:r>
        <w:br/>
      </w:r>
      <w:r>
        <w:rPr>
          <w:rFonts w:ascii="Times New Roman"/>
          <w:b w:val="false"/>
          <w:i w:val="false"/>
          <w:color w:val="000000"/>
          <w:sz w:val="28"/>
        </w:rPr>
        <w:t>
      3)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8) мемлекеттік қызметті алушы – электрондық мемлекеттік қызмет көрсетілетін жеке тұлға;</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xml:space="preserve">
      11) құрылымдық-функционалдық бірліктер (бұдан әрі - ҚФБ )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13)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14)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6"/>
    <w:bookmarkStart w:name="z13" w:id="7"/>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3-процесс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6-процесс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7-процесс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xml:space="preserve">
      12) 8-процесс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 - 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2-процесс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7-процесс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9-процесс – мемлекеттік қызметті алушының электрондық мемлекеттік қызмет нәтижесін (мемлекеттік қызметті алушының (қағаз жеткізушіде кәмелетке толмағандарға тиесілі тұрғын үй кепілдемесімен ссуданы ресімдеу үшін нотариалды кеңсеге немесе банктерге баспананың иесі болып табылатын кәмелетке толмағандарға жылжымайтын мүлікке иеліктен айыру бойынша мәмілелерді жасауға қорғаншылық немесе қамқоршылық жөніндегі функцияларды жүзеге асыратын органдардың анықтамаларын) (бұдан әрі-анықтама)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7"/>
    <w:bookmarkStart w:name="z18" w:id="8"/>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8"/>
    <w:bookmarkStart w:name="z19" w:id="9"/>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9"/>
    <w:bookmarkStart w:name="z25" w:id="10"/>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6" w:id="11"/>
    <w:p>
      <w:pPr>
        <w:spacing w:after="0"/>
        <w:ind w:left="0"/>
        <w:jc w:val="left"/>
      </w:pPr>
      <w:r>
        <w:rPr>
          <w:rFonts w:ascii="Times New Roman"/>
          <w:b/>
          <w:i w:val="false"/>
          <w:color w:val="000000"/>
        </w:rPr>
        <w:t xml:space="preserve"> 
2-кесте. Орталық арқылы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xml:space="preserve">
тама </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 – егер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2"/>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95250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25000" cy="5105400"/>
                    </a:xfrm>
                    <a:prstGeom prst="rect">
                      <a:avLst/>
                    </a:prstGeom>
                  </pic:spPr>
                </pic:pic>
              </a:graphicData>
            </a:graphic>
          </wp:inline>
        </w:drawing>
      </w:r>
    </w:p>
    <w:bookmarkStart w:name="z28" w:id="13"/>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bookmarkEnd w:id="13"/>
    <w:p>
      <w:pPr>
        <w:spacing w:after="0"/>
        <w:ind w:left="0"/>
        <w:jc w:val="both"/>
      </w:pPr>
      <w:r>
        <w:drawing>
          <wp:inline distT="0" distB="0" distL="0" distR="0">
            <wp:extent cx="94869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486900" cy="5295900"/>
                    </a:xfrm>
                    <a:prstGeom prst="rect">
                      <a:avLst/>
                    </a:prstGeom>
                  </pic:spPr>
                </pic:pic>
              </a:graphicData>
            </a:graphic>
          </wp:inline>
        </w:drawing>
      </w:r>
    </w:p>
    <w:bookmarkStart w:name="z29" w:id="14"/>
    <w:p>
      <w:pPr>
        <w:spacing w:after="0"/>
        <w:ind w:left="0"/>
        <w:jc w:val="left"/>
      </w:pPr>
      <w:r>
        <w:rPr>
          <w:rFonts w:ascii="Times New Roman"/>
          <w:b/>
          <w:i w:val="false"/>
          <w:color w:val="000000"/>
        </w:rPr>
        <w:t xml:space="preserve"> 
Кесте. Шартты белгілер</w:t>
      </w:r>
    </w:p>
    <w:bookmarkEnd w:id="14"/>
    <w:p>
      <w:pPr>
        <w:spacing w:after="0"/>
        <w:ind w:left="0"/>
        <w:jc w:val="both"/>
      </w:pPr>
      <w:r>
        <w:drawing>
          <wp:inline distT="0" distB="0" distL="0" distR="0">
            <wp:extent cx="6413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13500" cy="5105400"/>
                    </a:xfrm>
                    <a:prstGeom prst="rect">
                      <a:avLst/>
                    </a:prstGeom>
                  </pic:spPr>
                </pic:pic>
              </a:graphicData>
            </a:graphic>
          </wp:inline>
        </w:drawing>
      </w:r>
    </w:p>
    <w:bookmarkStart w:name="z30" w:id="15"/>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p>
      <w:pPr>
        <w:spacing w:after="0"/>
        <w:ind w:left="0"/>
        <w:jc w:val="both"/>
      </w:pPr>
      <w:r>
        <w:drawing>
          <wp:inline distT="0" distB="0" distL="0" distR="0">
            <wp:extent cx="77089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08900" cy="8051800"/>
                    </a:xfrm>
                    <a:prstGeom prst="rect">
                      <a:avLst/>
                    </a:prstGeom>
                  </pic:spPr>
                </pic:pic>
              </a:graphicData>
            </a:graphic>
          </wp:inline>
        </w:drawing>
      </w:r>
    </w:p>
    <w:bookmarkStart w:name="z31" w:id="16"/>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6"/>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483600"/>
                    </a:xfrm>
                    <a:prstGeom prst="rect">
                      <a:avLst/>
                    </a:prstGeom>
                  </pic:spPr>
                </pic:pic>
              </a:graphicData>
            </a:graphic>
          </wp:inline>
        </w:drawing>
      </w:r>
    </w:p>
    <w:bookmarkStart w:name="z32" w:id="17"/>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4-қосымша</w:t>
      </w:r>
    </w:p>
    <w:bookmarkEnd w:id="17"/>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p>
      <w:pPr>
        <w:spacing w:after="0"/>
        <w:ind w:left="0"/>
        <w:jc w:val="both"/>
      </w:pPr>
      <w:r>
        <w:drawing>
          <wp:inline distT="0" distB="0" distL="0" distR="0">
            <wp:extent cx="6413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13500" cy="51943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 сонымен қатар ИАЖ Орталық жүйесіне береді.</w:t>
      </w:r>
    </w:p>
    <w:bookmarkStart w:name="z33" w:id="18"/>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5-қосымша</w:t>
      </w:r>
    </w:p>
    <w:bookmarkEnd w:id="18"/>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