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f478" w14:textId="d63f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анықтау жөнінде анықтама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24 желтоқсандағы N 471 қаулысы. Солтүстік Қазақстан облысының Әділет департаментінде 2013 жылғы 25 қаңтарда N 2128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Ғабит Мүсірепов атындағы ауданның әкімдігі ҚАУЛЫ ЕТЕДІ:</w:t>
      </w:r>
      <w:r>
        <w:br/>
      </w:r>
      <w:r>
        <w:rPr>
          <w:rFonts w:ascii="Times New Roman"/>
          <w:b w:val="false"/>
          <w:i w:val="false"/>
          <w:color w:val="000000"/>
          <w:sz w:val="28"/>
        </w:rPr>
        <w:t>
      1. Қоса берілген «Қазақстан Республикасының аумағында жылжымайтын мүлiк объектiлерiнiң мекенжайын анықтау жөнiнде анықтама беру»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орынбасары Николай Васильевич Мацедонға жүктелсін.</w:t>
      </w:r>
      <w:r>
        <w:br/>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М. Тасмағанбетов</w:t>
      </w:r>
    </w:p>
    <w:bookmarkEnd w:id="1"/>
    <w:bookmarkStart w:name="z3" w:id="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2012 жылғы 24 желтоқсандағы № 471</w:t>
      </w:r>
      <w:r>
        <w:br/>
      </w:r>
      <w:r>
        <w:rPr>
          <w:rFonts w:ascii="Times New Roman"/>
          <w:b w:val="false"/>
          <w:i w:val="false"/>
          <w:color w:val="000000"/>
          <w:sz w:val="28"/>
        </w:rPr>
        <w:t>
қаулысымен бекітілді</w:t>
      </w:r>
    </w:p>
    <w:bookmarkEnd w:id="2"/>
    <w:bookmarkStart w:name="z4" w:id="3"/>
    <w:p>
      <w:pPr>
        <w:spacing w:after="0"/>
        <w:ind w:left="0"/>
        <w:jc w:val="left"/>
      </w:pPr>
      <w:r>
        <w:rPr>
          <w:rFonts w:ascii="Times New Roman"/>
          <w:b/>
          <w:i w:val="false"/>
          <w:color w:val="000000"/>
        </w:rPr>
        <w:t xml:space="preserve"> 
«Қазақстан Республикасының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мемлекеттік қызмет регламентінде (бұдан әрі - регламент) келесі ұғымдар қолданылады:</w:t>
      </w:r>
      <w:r>
        <w:br/>
      </w:r>
      <w:r>
        <w:rPr>
          <w:rFonts w:ascii="Times New Roman"/>
          <w:b w:val="false"/>
          <w:i w:val="false"/>
          <w:color w:val="000000"/>
          <w:sz w:val="28"/>
        </w:rPr>
        <w:t>
      1) ауданның сәулет және қала құрылысы саласындағы қызметтерді жүзеге асыратын жергілікті атқарушы органның құрылымдық бөлімшесі - «Ғабит Мүсірепов атындағы аудандық құрылыс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 (бұдан әрі - мемлекеттік қызмет) ауданның сәулет және қала құрылысы саласындағы қызметтерді жүзеге асыратын жергілікті атқарушы органның құрылымдық бөлімшесі «Ғабит Мүсірепов атындағы аудандық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Ғабит Мүсірепов атындағы аудандық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9-1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«Мекенжай тіркелімі» ақпараттық жүйесін жүргізу және толықтыру шеңберінде, Қазақстан Республикасы Үкіметінің 2012 жылғы 31 тамыздағы № 1128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аумағында жылжымайтын мүлік объектілерінің мекенжайын анықтау жөнінде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жылжымайтын мүліктің мекенжайын өзгерту, меншіктеу, тарату, бойынша анықтама беру не қағаз жеткізгіште (бұдан әрі - анықтама)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уәкілетті органның os-gm.sko.kz, интернет – ресурстарында, уәкілетті органның және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Орталықтарда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тұрғылықты орны Орталықтың ғимаратында көрсетіледі. Залда күтуге және құжаттарды толтыруға арналған анықтамалық бюро, күтуге арналған кресло орналасқан.</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12.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өтініш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қызметкерi құжаттар пакетiн қабылдау кезiнде көшiрменiң түпнұсқаға сәйкестiгiн салыстырып тексереді және тұпнұсқаны өтiнiш берушiге қайтарады.</w:t>
      </w:r>
      <w:r>
        <w:br/>
      </w:r>
      <w:r>
        <w:rPr>
          <w:rFonts w:ascii="Times New Roman"/>
          <w:b w:val="false"/>
          <w:i w:val="false"/>
          <w:color w:val="000000"/>
          <w:sz w:val="28"/>
        </w:rPr>
        <w:t>
      14. Мемлекеттік қызметті алу үшін қажетті өтініш еркін нысанда толтырылады.</w:t>
      </w:r>
      <w:r>
        <w:br/>
      </w:r>
      <w:r>
        <w:rPr>
          <w:rFonts w:ascii="Times New Roman"/>
          <w:b w:val="false"/>
          <w:i w:val="false"/>
          <w:color w:val="000000"/>
          <w:sz w:val="28"/>
        </w:rPr>
        <w:t>
      15.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17.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1) Орталық инспекторы құжаттарды қабылдайды, ұсынылған құжаттардың толықтығын тексереді,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тізбесін алушымен тапсырылмаған жағдайда, құжаттарды қабылдаудан бас тартылады, жетіспейтін құжаттарды көрсетумен мемлекеттік қызметті алушыға қолхат береді. Құжаттар топтамасы толық болған жағдайда өтінішті тіркейді, мемлекеттік қызметті алушыға тиісті құжаттарды қабылдағандығы жөнінде қолхат береді және Орталықтың жинақтау бөліміне тапсырады;</w:t>
      </w:r>
      <w:r>
        <w:br/>
      </w:r>
      <w:r>
        <w:rPr>
          <w:rFonts w:ascii="Times New Roman"/>
          <w:b w:val="false"/>
          <w:i w:val="false"/>
          <w:color w:val="000000"/>
          <w:sz w:val="28"/>
        </w:rPr>
        <w:t>
      2) Орталықтың жинақтау бөлімінің инспекторы құжаттарды жинайды және уәкілетті органға жолдайды;</w:t>
      </w:r>
      <w:r>
        <w:br/>
      </w:r>
      <w:r>
        <w:rPr>
          <w:rFonts w:ascii="Times New Roman"/>
          <w:b w:val="false"/>
          <w:i w:val="false"/>
          <w:color w:val="000000"/>
          <w:sz w:val="28"/>
        </w:rPr>
        <w:t>
      3)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4)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5) уәкілетті органның жауапты орындаушысы келіп түскен құжаттарды қарайды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тіркейді. Анықтама не бас тарту туралы дәлелді жауап дайындайды, уәкілетті органның басшысына қол қою үшін жолдайды;</w:t>
      </w:r>
      <w:r>
        <w:br/>
      </w:r>
      <w:r>
        <w:rPr>
          <w:rFonts w:ascii="Times New Roman"/>
          <w:b w:val="false"/>
          <w:i w:val="false"/>
          <w:color w:val="000000"/>
          <w:sz w:val="28"/>
        </w:rPr>
        <w:t>
      6) уәкілетті органның басшысы анықтама не қызмет ұсынудан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7) уәкілетті органның жауапты маманы анықтама не қызмет ұсынудан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8) Орталық инспекторы мемлекеттік қызметті алушыға хабарлама не қызмет ұсынудан бас тарту туралы дәлелді жауап береді. </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2"/>
    <w:bookmarkStart w:name="z14" w:id="13"/>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w:t>
      </w:r>
      <w:r>
        <w:br/>
      </w:r>
      <w:r>
        <w:rPr>
          <w:rFonts w:ascii="Times New Roman"/>
          <w:b w:val="false"/>
          <w:i w:val="false"/>
          <w:color w:val="000000"/>
          <w:sz w:val="28"/>
        </w:rPr>
        <w:t>
анықтама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уәкілетті орган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5"/>
        <w:gridCol w:w="3417"/>
        <w:gridCol w:w="4676"/>
        <w:gridCol w:w="2512"/>
      </w:tblGrid>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және электрондық пошта мекенжай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атындағы аудандық құрылыс бөлімі» мемлекеттік мекемесі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Новоишим селосы, Ленин көшесі, 2 os-gm@sko.kz</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18.30-ге дейін, түскі үзіліс сағат 13.00-14.30, демалыс күндері – сенбі және жексенбі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2-24-50</w:t>
            </w:r>
          </w:p>
        </w:tc>
      </w:tr>
    </w:tbl>
    <w:bookmarkStart w:name="z16" w:id="15"/>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w:t>
      </w:r>
      <w:r>
        <w:br/>
      </w:r>
      <w:r>
        <w:rPr>
          <w:rFonts w:ascii="Times New Roman"/>
          <w:b w:val="false"/>
          <w:i w:val="false"/>
          <w:color w:val="000000"/>
          <w:sz w:val="28"/>
        </w:rPr>
        <w:t>
анықтама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5"/>
    <w:bookmarkStart w:name="z17" w:id="16"/>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149"/>
        <w:gridCol w:w="2974"/>
        <w:gridCol w:w="3170"/>
        <w:gridCol w:w="2997"/>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Ғабит Мүсірепов атындағы аудандық филиалы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Новоишим селосы, Ленин көшесі, 7</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2-22-19</w:t>
            </w:r>
          </w:p>
        </w:tc>
      </w:tr>
    </w:tbl>
    <w:bookmarkStart w:name="z18" w:id="17"/>
    <w:p>
      <w:pPr>
        <w:spacing w:after="0"/>
        <w:ind w:left="0"/>
        <w:jc w:val="both"/>
      </w:pP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8"/>
    <w:bookmarkStart w:name="z20" w:id="19"/>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19"/>
    <w:bookmarkStart w:name="z21" w:id="20"/>
    <w:p>
      <w:pPr>
        <w:spacing w:after="0"/>
        <w:ind w:left="0"/>
        <w:jc w:val="both"/>
      </w:pPr>
      <w:r>
        <w:rPr>
          <w:rFonts w:ascii="Times New Roman"/>
          <w:b w:val="false"/>
          <w:i w:val="false"/>
          <w:color w:val="000000"/>
          <w:sz w:val="28"/>
        </w:rPr>
        <w:t>
ЖЫЛЖЫМАЙТЫН МҮЛІК ОБЪЕКТІСІНІҢ МЕКЕНЖАЙЫН ӨЗГЕРТУ ЖӨНІНДЕГІ АНЫҚТАМА</w:t>
      </w:r>
      <w:r>
        <w:br/>
      </w:r>
      <w:r>
        <w:rPr>
          <w:rFonts w:ascii="Times New Roman"/>
          <w:b w:val="false"/>
          <w:i w:val="false"/>
          <w:color w:val="000000"/>
          <w:sz w:val="28"/>
        </w:rPr>
        <w:t>
СПРАВКА ПО ИЗМЕНЕНИЮ АДРЕСА ОБЪЕКТА НЕДВИЖИМОСТИ</w:t>
      </w:r>
    </w:p>
    <w:bookmarkEnd w:id="20"/>
    <w:bookmarkStart w:name="z22" w:id="21"/>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мекен-жайы:</w:t>
            </w:r>
            <w:r>
              <w:br/>
            </w:r>
            <w:r>
              <w:rPr>
                <w:rFonts w:ascii="Times New Roman"/>
                <w:b w:val="false"/>
                <w:i w:val="false"/>
                <w:color w:val="000000"/>
                <w:sz w:val="20"/>
              </w:rPr>
              <w:t>
Старый адрес: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нөмiрі:</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Дата регистрации</w:t>
            </w:r>
            <w:r>
              <w:br/>
            </w:r>
            <w:r>
              <w:rPr>
                <w:rFonts w:ascii="Times New Roman"/>
                <w:b w:val="false"/>
                <w:i w:val="false"/>
                <w:color w:val="000000"/>
                <w:sz w:val="20"/>
              </w:rPr>
              <w:t>
изменения: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3"/>
    <w:bookmarkStart w:name="z25" w:id="24"/>
    <w:p>
      <w:pPr>
        <w:spacing w:after="0"/>
        <w:ind w:left="0"/>
        <w:jc w:val="both"/>
      </w:pPr>
      <w:r>
        <w:rPr>
          <w:rFonts w:ascii="Times New Roman"/>
          <w:b w:val="false"/>
          <w:i w:val="false"/>
          <w:color w:val="000000"/>
          <w:sz w:val="28"/>
        </w:rPr>
        <w:t>
ЖЫЛЖЫМАЙТЫН МҮЛІК ОБЪЕКТІСІНЕ МЕКЕНЖАЙ БЕРУ ТУРАЛЫ АНЫҚТАМА</w:t>
      </w:r>
      <w:r>
        <w:br/>
      </w:r>
      <w:r>
        <w:rPr>
          <w:rFonts w:ascii="Times New Roman"/>
          <w:b w:val="false"/>
          <w:i w:val="false"/>
          <w:color w:val="000000"/>
          <w:sz w:val="28"/>
        </w:rPr>
        <w:t>
СПРАВКА О ПРИСВОЕНИИ АДРЕСА ОБЪЕКТУ НЕДВИЖИМОСТИ</w:t>
      </w:r>
    </w:p>
    <w:bookmarkEnd w:id="24"/>
    <w:bookmarkStart w:name="z26" w:id="25"/>
    <w:p>
      <w:pPr>
        <w:spacing w:after="0"/>
        <w:ind w:left="0"/>
        <w:jc w:val="both"/>
      </w:pPr>
      <w:r>
        <w:rPr>
          <w:rFonts w:ascii="Times New Roman"/>
          <w:b w:val="false"/>
          <w:i w:val="false"/>
          <w:color w:val="000000"/>
          <w:sz w:val="28"/>
        </w:rPr>
        <w:t>
МЕКЕНЖАЙ ТІРКЕЛІМІ АЖ / ИС АДРЕСНЫЙ РЕГИСТР</w:t>
      </w:r>
    </w:p>
    <w:bookmarkEnd w:id="25"/>
    <w:bookmarkStart w:name="z27" w:id="26"/>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7"/>
    <w:p>
      <w:pPr>
        <w:spacing w:after="0"/>
        <w:ind w:left="0"/>
        <w:jc w:val="both"/>
      </w:pP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28"/>
    <w:bookmarkStart w:name="z30" w:id="29"/>
    <w:p>
      <w:pPr>
        <w:spacing w:after="0"/>
        <w:ind w:left="0"/>
        <w:jc w:val="both"/>
      </w:pPr>
      <w:r>
        <w:rPr>
          <w:rFonts w:ascii="Times New Roman"/>
          <w:b w:val="false"/>
          <w:i w:val="false"/>
          <w:color w:val="000000"/>
          <w:sz w:val="28"/>
        </w:rPr>
        <w:t>
ЖЫЛЖЫМАЙТЫН МҮЛІК ОБЪЕКТІСІНІҢ МЕКЕНЖАЙЫН ЖОЮ ТУРАЛЫ АНЫҚТАМА</w:t>
      </w:r>
      <w:r>
        <w:br/>
      </w:r>
      <w:r>
        <w:rPr>
          <w:rFonts w:ascii="Times New Roman"/>
          <w:b w:val="false"/>
          <w:i w:val="false"/>
          <w:color w:val="000000"/>
          <w:sz w:val="28"/>
        </w:rPr>
        <w:t>
СПРАВКА ОБ УПРАЗДНЕНИИ АДРЕСА ОБЪЕКТА НЕДВИЖИМОСТИ</w:t>
      </w:r>
    </w:p>
    <w:bookmarkEnd w:id="29"/>
    <w:bookmarkStart w:name="z31" w:id="30"/>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Дата упразднения: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1"/>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31"/>
    <w:bookmarkStart w:name="z33" w:id="32"/>
    <w:p>
      <w:pPr>
        <w:spacing w:after="0"/>
        <w:ind w:left="0"/>
        <w:jc w:val="both"/>
      </w:pPr>
      <w:r>
        <w:rPr>
          <w:rFonts w:ascii="Times New Roman"/>
          <w:b w:val="false"/>
          <w:i w:val="false"/>
          <w:color w:val="000000"/>
          <w:sz w:val="28"/>
        </w:rPr>
        <w:t>
ЖЫЛЖЫМАЙТЫН МҮЛІК ОБЪЕКТІСІНІҢ МЕКЕНЖАЙЫН НАҚТЫЛАУ ТУРАЛЫ АНЫҚТАМА</w:t>
      </w:r>
      <w:r>
        <w:br/>
      </w:r>
      <w:r>
        <w:rPr>
          <w:rFonts w:ascii="Times New Roman"/>
          <w:b w:val="false"/>
          <w:i w:val="false"/>
          <w:color w:val="000000"/>
          <w:sz w:val="28"/>
        </w:rPr>
        <w:t>
СПРАВКА ОБ УТОЧНЕНИИ АДРЕСА ОБЪЕКТА НЕДВИЖИМОСТИ</w:t>
      </w:r>
    </w:p>
    <w:bookmarkEnd w:id="32"/>
    <w:bookmarkStart w:name="z34" w:id="33"/>
    <w:p>
      <w:pPr>
        <w:spacing w:after="0"/>
        <w:ind w:left="0"/>
        <w:jc w:val="both"/>
      </w:pPr>
      <w:r>
        <w:rPr>
          <w:rFonts w:ascii="Times New Roman"/>
          <w:b w:val="false"/>
          <w:i w:val="false"/>
          <w:color w:val="000000"/>
          <w:sz w:val="28"/>
        </w:rPr>
        <w:t>
МЕКЕНЖАЙ ТІРКЕЛІМІ АЖ / ИС АДРЕСНЫЙ РЕГИСТР</w:t>
      </w:r>
    </w:p>
    <w:bookmarkEnd w:id="33"/>
    <w:bookmarkStart w:name="z35" w:id="34"/>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w:t>
            </w:r>
            <w:r>
              <w:br/>
            </w:r>
            <w:r>
              <w:rPr>
                <w:rFonts w:ascii="Times New Roman"/>
                <w:b w:val="false"/>
                <w:i w:val="false"/>
                <w:color w:val="000000"/>
                <w:sz w:val="20"/>
              </w:rPr>
              <w:t>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5"/>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35"/>
    <w:bookmarkStart w:name="z37" w:id="36"/>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853"/>
        <w:gridCol w:w="3110"/>
        <w:gridCol w:w="3110"/>
        <w:gridCol w:w="2862"/>
        <w:gridCol w:w="40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қайтару). Жылжымайтын мүлік объектісіне мекенжайды меншіктеу, өзгерту және жою кезінде жылжымайтын мүлік объектісінің орналасқан жеріне бару, мекенжайдың тіркеу кодын көрсетумен «Мекенжай тіркелімі» ақпараттық жүйесіне тіркеу. Анықтама не қызмет ұсынудан бас тарту туралы дәлелді жауап дайындау.</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мекенжайын нақтылау кезінде 2 жұмыс күні ішінде;</w:t>
            </w:r>
          </w:p>
          <w:p>
            <w:pPr>
              <w:spacing w:after="20"/>
              <w:ind w:left="20"/>
              <w:jc w:val="both"/>
            </w:pPr>
            <w:r>
              <w:rPr>
                <w:rFonts w:ascii="Times New Roman"/>
                <w:b w:val="false"/>
                <w:i w:val="false"/>
                <w:color w:val="000000"/>
                <w:sz w:val="20"/>
              </w:rPr>
              <w:t>жылжымайтын мүліктің мекенжайын меншіктеу, өзгерту немесе жою кезінде 6 жұмыс күні ішінде</w:t>
            </w:r>
          </w:p>
        </w:tc>
      </w:tr>
      <w:tr>
        <w:trPr>
          <w:trHeight w:val="10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8" w:id="37"/>
    <w:p>
      <w:pPr>
        <w:spacing w:after="0"/>
        <w:ind w:left="0"/>
        <w:jc w:val="left"/>
      </w:pPr>
      <w:r>
        <w:rPr>
          <w:rFonts w:ascii="Times New Roman"/>
          <w:b/>
          <w:i w:val="false"/>
          <w:color w:val="000000"/>
        </w:rPr>
        <w:t xml:space="preserve"> 
Негізгі (баламалы) процесс (жұмыс барысы, ағымы) іс-әрекеттерін сипаттаудың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345"/>
        <w:gridCol w:w="5335"/>
        <w:gridCol w:w="6326"/>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олардың сипаттамасы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Орталыққа тапсыру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тапсыру күніне 2 реттен кем емес</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8"/>
    <w:p>
      <w:pPr>
        <w:spacing w:after="0"/>
        <w:ind w:left="0"/>
        <w:jc w:val="left"/>
      </w:pPr>
      <w:r>
        <w:rPr>
          <w:rFonts w:ascii="Times New Roman"/>
          <w:b/>
          <w:i w:val="false"/>
          <w:color w:val="000000"/>
        </w:rPr>
        <w:t xml:space="preserve"> 
Пайдалану нұсқалары. Негізгі процесс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2"/>
        <w:gridCol w:w="3156"/>
        <w:gridCol w:w="3541"/>
        <w:gridCol w:w="3055"/>
        <w:gridCol w:w="5226"/>
      </w:tblGrid>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 (құжаттар топтамасын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Анықтама дайындау</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анықтама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Орталыққа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Анықтамаға қол қою</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9"/>
    <w:p>
      <w:pPr>
        <w:spacing w:after="0"/>
        <w:ind w:left="0"/>
        <w:jc w:val="left"/>
      </w:pPr>
      <w:r>
        <w:rPr>
          <w:rFonts w:ascii="Times New Roman"/>
          <w:b/>
          <w:i w:val="false"/>
          <w:color w:val="000000"/>
        </w:rPr>
        <w:t xml:space="preserve"> 
Пайдалану нұсқалары. Баламалы процесс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81"/>
        <w:gridCol w:w="4008"/>
        <w:gridCol w:w="2414"/>
        <w:gridCol w:w="5664"/>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ішінде(құжаттар пакетін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Бас тарту туралы дәлелді жауап дайындайды, құжаттарды уәкілетті органның басшысына тапсыру</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жауапты тіркеу, Орталыққа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жауапқа қол қою</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40"/>
    <w:p>
      <w:pPr>
        <w:spacing w:after="0"/>
        <w:ind w:left="0"/>
        <w:jc w:val="both"/>
      </w:pP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5-қосымша</w:t>
      </w:r>
    </w:p>
    <w:bookmarkEnd w:id="41"/>
    <w:bookmarkStart w:name="z43" w:id="4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әрекеттесуді бейнелейтін сызбалар</w:t>
      </w:r>
    </w:p>
    <w:bookmarkEnd w:id="42"/>
    <w:p>
      <w:pPr>
        <w:spacing w:after="0"/>
        <w:ind w:left="0"/>
        <w:jc w:val="both"/>
      </w:pPr>
      <w:r>
        <w:drawing>
          <wp:inline distT="0" distB="0" distL="0" distR="0">
            <wp:extent cx="123952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95200" cy="6324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