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c650" w14:textId="c3dc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 тамыздағы N 352 қаулысы. Солтүстік Қазақстан облысының Әділет департаментінде 2012 жылғы 12 қыркүйекте N 1841 тіркелді. Күші жойылды - Солтүстік Қазақстан облысы Қызылжар аудандық әкімдігінің 2012 жылғы 26 қыркүйектегі N 467 Қаулысымен</w:t>
      </w:r>
    </w:p>
    <w:p>
      <w:pPr>
        <w:spacing w:after="0"/>
        <w:ind w:left="0"/>
        <w:jc w:val="both"/>
      </w:pPr>
      <w:bookmarkStart w:name="z66" w:id="0"/>
      <w:r>
        <w:rPr>
          <w:rFonts w:ascii="Times New Roman"/>
          <w:b w:val="false"/>
          <w:i w:val="false"/>
          <w:color w:val="ff0000"/>
          <w:sz w:val="28"/>
        </w:rPr>
        <w:t>
      Ескерту. Күші жойылды - Солтүстік Қазақстан облысы Қызылжар аудандық әкімдігінің 26.09.2012 N 467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министрінің міндетін атқарушы              Р. Скляр</w:t>
      </w:r>
      <w:r>
        <w:br/>
      </w:r>
      <w:r>
        <w:rPr>
          <w:rFonts w:ascii="Times New Roman"/>
          <w:b w:val="false"/>
          <w:i w:val="false"/>
          <w:color w:val="000000"/>
          <w:sz w:val="28"/>
        </w:rPr>
        <w:t>
</w:t>
      </w:r>
      <w:r>
        <w:rPr>
          <w:rFonts w:ascii="Times New Roman"/>
          <w:b w:val="false"/>
          <w:i/>
          <w:color w:val="000000"/>
          <w:sz w:val="28"/>
        </w:rPr>
        <w:t>      2012 жылғы 1 тамыз</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 тамыздағы № 352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Электрондық мемлекеттік қызмет «Қызылжар аудандық жұмыспен қамту және әлеуметтік бағдарламалар бөлімі» мемлекеттік мекемесімен (бұдан әрі – ЖАО), сонымен қатар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(бұдан әрі - ЭҮП)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«Мемлекеттік атаулы әлеуметтік көмек тағайындау»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атаулы әлеуметтік көмек тағайындау»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w:t>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w:t>
      </w:r>
      <w:r>
        <w:br/>
      </w:r>
      <w:r>
        <w:rPr>
          <w:rFonts w:ascii="Times New Roman"/>
          <w:b w:val="false"/>
          <w:i w:val="false"/>
          <w:color w:val="000000"/>
          <w:sz w:val="28"/>
        </w:rPr>
        <w:t>
</w:t>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w:t>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w:t>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6) мемлекеттік орган (бұдан әрі - ЖАО) – электронды мемлекеттік қызметті тікелей ұсынатын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w:t>
      </w:r>
      <w:r>
        <w:rPr>
          <w:rFonts w:ascii="Times New Roman"/>
          <w:b w:val="false"/>
          <w:i w:val="false"/>
          <w:color w:val="000000"/>
          <w:sz w:val="28"/>
        </w:rPr>
        <w:t>
      9) «электрондық үкіметтің» өңірлік шлюзі (бұдан әрі – ЭҮӨШ) – ЖАО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w:t>
      </w:r>
      <w:r>
        <w:rPr>
          <w:rFonts w:ascii="Times New Roman"/>
          <w:b w:val="false"/>
          <w:i w:val="false"/>
          <w:color w:val="000000"/>
          <w:sz w:val="28"/>
        </w:rPr>
        <w:t>
      10) ҚФБ - құрылымдық–функционалдық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w:t>
      </w:r>
      <w:r>
        <w:rPr>
          <w:rFonts w:ascii="Times New Roman"/>
          <w:b w:val="false"/>
          <w:i w:val="false"/>
          <w:color w:val="000000"/>
          <w:sz w:val="28"/>
        </w:rPr>
        <w:t>
      14)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26" w:id="5"/>
    <w:p>
      <w:pPr>
        <w:spacing w:after="0"/>
        <w:ind w:left="0"/>
        <w:jc w:val="left"/>
      </w:pPr>
      <w:r>
        <w:rPr>
          <w:rFonts w:ascii="Times New Roman"/>
          <w:b/>
          <w:i w:val="false"/>
          <w:color w:val="000000"/>
        </w:rPr>
        <w:t xml:space="preserve"> 
2. Мемлекеттік қызмет көрсету бойынша қызмет берушінің қызмет көрсету тәртібі</w:t>
      </w:r>
    </w:p>
    <w:bookmarkEnd w:id="5"/>
    <w:bookmarkStart w:name="z27"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жарым-жарты автоматтандырылған мемлекеттік қызметін көрсету кезінде қызмет берушінің адымдық іс-әрекеттері мен шешімдері (1 сурет):</w:t>
      </w:r>
      <w:r>
        <w:br/>
      </w:r>
      <w:r>
        <w:rPr>
          <w:rFonts w:ascii="Times New Roman"/>
          <w:b w:val="false"/>
          <w:i w:val="false"/>
          <w:color w:val="000000"/>
          <w:sz w:val="28"/>
        </w:rPr>
        <w:t>
</w:t>
      </w:r>
      <w:r>
        <w:rPr>
          <w:rFonts w:ascii="Times New Roman"/>
          <w:b w:val="false"/>
          <w:i w:val="false"/>
          <w:color w:val="000000"/>
          <w:sz w:val="28"/>
        </w:rPr>
        <w:t xml:space="preserve">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 </w:t>
      </w:r>
      <w:r>
        <w:br/>
      </w:r>
      <w:r>
        <w:rPr>
          <w:rFonts w:ascii="Times New Roman"/>
          <w:b w:val="false"/>
          <w:i w:val="false"/>
          <w:color w:val="000000"/>
          <w:sz w:val="28"/>
        </w:rPr>
        <w:t>
</w:t>
      </w:r>
      <w:r>
        <w:rPr>
          <w:rFonts w:ascii="Times New Roman"/>
          <w:b w:val="false"/>
          <w:i w:val="false"/>
          <w:color w:val="000000"/>
          <w:sz w:val="28"/>
        </w:rPr>
        <w:t>
      2) 1 процесс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w:t>
      </w:r>
      <w:r>
        <w:rPr>
          <w:rFonts w:ascii="Times New Roman"/>
          <w:b w:val="false"/>
          <w:i w:val="false"/>
          <w:color w:val="000000"/>
          <w:sz w:val="28"/>
        </w:rPr>
        <w:t>
      4)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
      6)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 </w:t>
      </w:r>
      <w:r>
        <w:br/>
      </w:r>
      <w:r>
        <w:rPr>
          <w:rFonts w:ascii="Times New Roman"/>
          <w:b w:val="false"/>
          <w:i w:val="false"/>
          <w:color w:val="000000"/>
          <w:sz w:val="28"/>
        </w:rPr>
        <w:t>
</w:t>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w:t>
      </w:r>
      <w:r>
        <w:rPr>
          <w:rFonts w:ascii="Times New Roman"/>
          <w:b w:val="false"/>
          <w:i w:val="false"/>
          <w:color w:val="000000"/>
          <w:sz w:val="28"/>
        </w:rPr>
        <w:t>
      8) 5 процесс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 процесс – ЖАО қызметкерімен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10) 7 процесс - ЖАО қызметкерімен электрондық мемлекеттік қызмет көрсету нәтижесін құру. Электрондық құжат ЖАО қызметкерінің ЭСҚ пайдаланумен құрылады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11) 8 процесс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w:t>
      </w:r>
      <w:r>
        <w:rPr>
          <w:rFonts w:ascii="Times New Roman"/>
          <w:b w:val="false"/>
          <w:i w:val="false"/>
          <w:color w:val="000000"/>
          <w:sz w:val="28"/>
        </w:rPr>
        <w:t xml:space="preserve">
      1) тұтынушы ЖСН (бар болған жағдайда немесе 2012 жылғы 31 желтоқсанға дейінгі мерзімімен оны алмастыратын СТН және ЖСН ) мен пароль (ЭҮП тіркелмеген тұтынушылар үшін жүзеге асырылады) көмегімен ЭҮП тіркеуді жүзеге асырады; </w:t>
      </w:r>
      <w:r>
        <w:br/>
      </w:r>
      <w:r>
        <w:rPr>
          <w:rFonts w:ascii="Times New Roman"/>
          <w:b w:val="false"/>
          <w:i w:val="false"/>
          <w:color w:val="000000"/>
          <w:sz w:val="28"/>
        </w:rPr>
        <w:t>
</w:t>
      </w:r>
      <w:r>
        <w:rPr>
          <w:rFonts w:ascii="Times New Roman"/>
          <w:b w:val="false"/>
          <w:i w:val="false"/>
          <w:color w:val="000000"/>
          <w:sz w:val="28"/>
        </w:rPr>
        <w:t>
      2) 1 процесс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 мен парольді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 шарт – ЖСН (бар болған жағдайда немесе 2012 жылғы 31 желтоқсанға дейінгі мерзімімен оны алмастыратын СТН және ЖСН ) және пароль арқылы тіркелген тұтынушылар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 процесс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 </w:t>
      </w:r>
      <w:r>
        <w:br/>
      </w:r>
      <w:r>
        <w:rPr>
          <w:rFonts w:ascii="Times New Roman"/>
          <w:b w:val="false"/>
          <w:i w:val="false"/>
          <w:color w:val="000000"/>
          <w:sz w:val="28"/>
        </w:rPr>
        <w:t>
</w:t>
      </w:r>
      <w:r>
        <w:rPr>
          <w:rFonts w:ascii="Times New Roman"/>
          <w:b w:val="false"/>
          <w:i w:val="false"/>
          <w:color w:val="000000"/>
          <w:sz w:val="28"/>
        </w:rPr>
        <w:t xml:space="preserve">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 </w:t>
      </w:r>
      <w:r>
        <w:br/>
      </w:r>
      <w:r>
        <w:rPr>
          <w:rFonts w:ascii="Times New Roman"/>
          <w:b w:val="false"/>
          <w:i w:val="false"/>
          <w:color w:val="000000"/>
          <w:sz w:val="28"/>
        </w:rPr>
        <w:t>
</w:t>
      </w:r>
      <w:r>
        <w:rPr>
          <w:rFonts w:ascii="Times New Roman"/>
          <w:b w:val="false"/>
          <w:i w:val="false"/>
          <w:color w:val="000000"/>
          <w:sz w:val="28"/>
        </w:rPr>
        <w:t>
      8) 5 процесс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 процесс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w:t>
      </w:r>
      <w:r>
        <w:rPr>
          <w:rFonts w:ascii="Times New Roman"/>
          <w:b w:val="false"/>
          <w:i w:val="false"/>
          <w:color w:val="000000"/>
          <w:sz w:val="28"/>
        </w:rPr>
        <w:t xml:space="preserve">
      10) 7 процесс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ЭҮП жеке кабинетке жіберіледі. </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xml:space="preserve">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52" w:id="7"/>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7"/>
    <w:bookmarkStart w:name="z53" w:id="8"/>
    <w:p>
      <w:pPr>
        <w:spacing w:after="0"/>
        <w:ind w:left="0"/>
        <w:jc w:val="both"/>
      </w:pPr>
      <w:r>
        <w:rPr>
          <w:rFonts w:ascii="Times New Roman"/>
          <w:b w:val="false"/>
          <w:i w:val="false"/>
          <w:color w:val="000000"/>
          <w:sz w:val="28"/>
        </w:rPr>
        <w:t xml:space="preserve">      11. Мемлекеттік қызмет көрсету процесіне мынадай құрылымдық-функционалдық бірліктер қатысады (бұдан әрі - ҚФЕ): </w:t>
      </w:r>
      <w:r>
        <w:br/>
      </w:r>
      <w:r>
        <w:rPr>
          <w:rFonts w:ascii="Times New Roman"/>
          <w:b w:val="false"/>
          <w:i w:val="false"/>
          <w:color w:val="000000"/>
          <w:sz w:val="28"/>
        </w:rPr>
        <w:t>
      ЖАО қызметкері.</w:t>
      </w:r>
      <w:r>
        <w:br/>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p>
    <w:bookmarkEnd w:id="8"/>
    <w:bookmarkStart w:name="z59" w:id="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178"/>
        <w:gridCol w:w="2922"/>
        <w:gridCol w:w="3863"/>
        <w:gridCol w:w="23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туралы мәліметтер алу үшін ОМО АЖ сұранымдар жолдау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120"/>
        <w:gridCol w:w="4641"/>
        <w:gridCol w:w="2486"/>
        <w:gridCol w:w="18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w:t>
            </w:r>
            <w:r>
              <w:br/>
            </w:r>
            <w:r>
              <w:rPr>
                <w:rFonts w:ascii="Times New Roman"/>
                <w:b w:val="false"/>
                <w:i w:val="false"/>
                <w:color w:val="000000"/>
                <w:sz w:val="20"/>
              </w:rPr>
              <w:t>
селолық округ әкіміне тұратын жері бойынша жиырма екі күнтiзбелiк күннен кешіктірмей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136"/>
        <w:gridCol w:w="3964"/>
        <w:gridCol w:w="3667"/>
        <w:gridCol w:w="13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(процестің, рәсімнің, операцияның) атауы және оның сипаттамасы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қолма-қол немесе тұтынушы электрондық поштасына жіберу арқылы беру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665"/>
        <w:gridCol w:w="2579"/>
        <w:gridCol w:w="2126"/>
        <w:gridCol w:w="2859"/>
        <w:gridCol w:w="21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сұраным нысанын толтыру. Электрондық мемлекеттік қызмет алу үшін енгі</w:t>
            </w:r>
            <w:r>
              <w:br/>
            </w:r>
            <w:r>
              <w:rPr>
                <w:rFonts w:ascii="Times New Roman"/>
                <w:b w:val="false"/>
                <w:i w:val="false"/>
                <w:color w:val="000000"/>
                <w:sz w:val="20"/>
              </w:rPr>
              <w:t>
зілген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w:t>
            </w:r>
            <w:r>
              <w:br/>
            </w:r>
            <w:r>
              <w:rPr>
                <w:rFonts w:ascii="Times New Roman"/>
                <w:b w:val="false"/>
                <w:i w:val="false"/>
                <w:color w:val="000000"/>
                <w:sz w:val="20"/>
              </w:rPr>
              <w:t>
сұраным</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(енгізілген мәліметтердің дұрыстығы жағдайында)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орындауға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xml:space="preserve">
да)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(енгізілген мәліметтердің дұрыстығы жағдайында)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 емес</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962"/>
        <w:gridCol w:w="2618"/>
        <w:gridCol w:w="2230"/>
        <w:gridCol w:w="2274"/>
        <w:gridCol w:w="2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«жұмыста» мәртебесін ауыстыру туралы хабарлама жолдау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w:t>
            </w:r>
            <w:r>
              <w:br/>
            </w:r>
            <w:r>
              <w:rPr>
                <w:rFonts w:ascii="Times New Roman"/>
                <w:b w:val="false"/>
                <w:i w:val="false"/>
                <w:color w:val="000000"/>
                <w:sz w:val="20"/>
              </w:rPr>
              <w:t>
Селолық округ әкіміне тұратын жері бойынша жиырма екі күнтiзбелiк күннен кешіктірмей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976"/>
        <w:gridCol w:w="2225"/>
        <w:gridCol w:w="2311"/>
        <w:gridCol w:w="2376"/>
        <w:gridCol w:w="22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ЭҮП қызмет көрсету мәртебесін ауыстыру туралы хабарлама жасау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w:t>
            </w:r>
            <w:r>
              <w:br/>
            </w:r>
            <w:r>
              <w:rPr>
                <w:rFonts w:ascii="Times New Roman"/>
                <w:b w:val="false"/>
                <w:i w:val="false"/>
                <w:color w:val="000000"/>
                <w:sz w:val="20"/>
              </w:rPr>
              <w:t>
тебесіне ауыстыру туралы хабарлама жолдау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Аталмыш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Start w:name="z60" w:id="1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9448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48800" cy="5105400"/>
                    </a:xfrm>
                    <a:prstGeom prst="rect">
                      <a:avLst/>
                    </a:prstGeom>
                  </pic:spPr>
                </pic:pic>
              </a:graphicData>
            </a:graphic>
          </wp:inline>
        </w:drawing>
      </w:r>
    </w:p>
    <w:p>
      <w:pPr>
        <w:spacing w:after="0"/>
        <w:ind w:left="0"/>
        <w:jc w:val="both"/>
      </w:pPr>
      <w:r>
        <w:rPr>
          <w:rFonts w:ascii="Times New Roman"/>
          <w:b w:val="false"/>
          <w:i w:val="false"/>
          <w:color w:val="000000"/>
          <w:sz w:val="28"/>
        </w:rPr>
        <w:t>1-сурет.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8966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66200" cy="5105400"/>
                    </a:xfrm>
                    <a:prstGeom prst="rect">
                      <a:avLst/>
                    </a:prstGeom>
                  </pic:spPr>
                </pic:pic>
              </a:graphicData>
            </a:graphic>
          </wp:inline>
        </w:drawing>
      </w:r>
    </w:p>
    <w:bookmarkStart w:name="z61" w:id="11"/>
    <w:p>
      <w:pPr>
        <w:spacing w:after="0"/>
        <w:ind w:left="0"/>
        <w:jc w:val="both"/>
      </w:pPr>
      <w:r>
        <w:rPr>
          <w:rFonts w:ascii="Times New Roman"/>
          <w:b w:val="false"/>
          <w:i w:val="false"/>
          <w:color w:val="000000"/>
          <w:sz w:val="28"/>
        </w:rPr>
        <w:t>
2-сурет. ЭҮП арқылы «жартылай автоматтандырылған» электрондық мемлекеттік қызмет көрсету кезіндегі өзара функционалдық әрекеттесу диаграммасы</w:t>
      </w:r>
    </w:p>
    <w:bookmarkEnd w:id="11"/>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55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bookmarkStart w:name="z62" w:id="12"/>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12"/>
    <w:bookmarkStart w:name="z63"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64" w:id="1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413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13500" cy="6769100"/>
                    </a:xfrm>
                    <a:prstGeom prst="rect">
                      <a:avLst/>
                    </a:prstGeom>
                  </pic:spPr>
                </pic:pic>
              </a:graphicData>
            </a:graphic>
          </wp:inline>
        </w:drawing>
      </w:r>
    </w:p>
    <w:p>
      <w:pPr>
        <w:spacing w:after="0"/>
        <w:ind w:left="0"/>
        <w:jc w:val="both"/>
      </w:pPr>
      <w:r>
        <w:drawing>
          <wp:inline distT="0" distB="0" distL="0" distR="0">
            <wp:extent cx="64770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0" cy="9144000"/>
                    </a:xfrm>
                    <a:prstGeom prst="rect">
                      <a:avLst/>
                    </a:prstGeom>
                  </pic:spPr>
                </pic:pic>
              </a:graphicData>
            </a:graphic>
          </wp:inline>
        </w:drawing>
      </w:r>
    </w:p>
    <w:p>
      <w:pPr>
        <w:spacing w:after="0"/>
        <w:ind w:left="0"/>
        <w:jc w:val="both"/>
      </w:pPr>
      <w:r>
        <w:drawing>
          <wp:inline distT="0" distB="0" distL="0" distR="0">
            <wp:extent cx="654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9093200"/>
                    </a:xfrm>
                    <a:prstGeom prst="rect">
                      <a:avLst/>
                    </a:prstGeom>
                  </pic:spPr>
                </pic:pic>
              </a:graphicData>
            </a:graphic>
          </wp:inline>
        </w:drawing>
      </w:r>
    </w:p>
    <w:p>
      <w:pPr>
        <w:spacing w:after="0"/>
        <w:ind w:left="0"/>
        <w:jc w:val="both"/>
      </w:pPr>
      <w:r>
        <w:drawing>
          <wp:inline distT="0" distB="0" distL="0" distR="0">
            <wp:extent cx="6413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13500" cy="6121400"/>
                    </a:xfrm>
                    <a:prstGeom prst="rect">
                      <a:avLst/>
                    </a:prstGeom>
                  </pic:spPr>
                </pic:pic>
              </a:graphicData>
            </a:graphic>
          </wp:inline>
        </w:drawing>
      </w:r>
    </w:p>
    <w:bookmarkStart w:name="z65" w:id="1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Тұтынушыға ұсынылатын электрондық мемлекеттік қызметке оң жауабының шығыс үлгісі (мемлекеттік атаулы әлеуметтік көмекті тағайындау туралы хабарлама)</w:t>
      </w:r>
    </w:p>
    <w:p>
      <w:pPr>
        <w:spacing w:after="0"/>
        <w:ind w:left="0"/>
        <w:jc w:val="both"/>
      </w:pPr>
      <w:r>
        <w:drawing>
          <wp:inline distT="0" distB="0" distL="0" distR="0">
            <wp:extent cx="572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27700" cy="80010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теріс жауаптың (бас тарту) шығыс үлгісі</w:t>
      </w:r>
    </w:p>
    <w:p>
      <w:pPr>
        <w:spacing w:after="0"/>
        <w:ind w:left="0"/>
        <w:jc w:val="both"/>
      </w:pPr>
      <w:r>
        <w:rPr>
          <w:rFonts w:ascii="Times New Roman"/>
          <w:b w:val="false"/>
          <w:i w:val="false"/>
          <w:color w:val="000000"/>
          <w:sz w:val="28"/>
        </w:rPr>
        <w:t>      Теріс жауаптың шығыс нысаны комиссия қорытындысын құруда бас тартуды негіздеу мәтінімен хат түрінде еркін нысанда ұсынылады.</w:t>
      </w:r>
    </w:p>
    <w:p>
      <w:pPr>
        <w:spacing w:after="0"/>
        <w:ind w:left="0"/>
        <w:jc w:val="both"/>
      </w:pPr>
      <w:r>
        <w:drawing>
          <wp:inline distT="0" distB="0" distL="0" distR="0">
            <wp:extent cx="5613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134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