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a23c" w14:textId="cbea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 тамыздағы N 353 қаулысы. Солтүстік Қазақстан облысының Әділет департаментінде 2012 жылғы 12 қыркүйекте N 1842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«Үйде оқитын және тәрбиеленетiн мүгедек балаларды материалдық қамтамасыз ету үшiн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Р.Е. Рамазановқа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Қызылжар ауданының әкімі                   В. Редин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министрінің міндетін атқарушы              Р. Скляр</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 тамыздағы № 353</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 ресімдеу»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Мемлекеттік қызмет «Қызылжар аудандық жұмыспен қамту және әлеуметтік бағдарламалар бөлімі» мемлекеттік мекемесімен (бұдан әрі - ЖАО), сонымен қатар </w:t>
      </w:r>
      <w:r>
        <w:rPr>
          <w:rFonts w:ascii="Times New Roman"/>
          <w:b w:val="false"/>
          <w:i w:val="false"/>
          <w:color w:val="000000"/>
          <w:sz w:val="28"/>
          <w:u w:val="single"/>
        </w:rPr>
        <w:t>www.e.gov.kz</w:t>
      </w:r>
      <w:r>
        <w:rPr>
          <w:rFonts w:ascii="Times New Roman"/>
          <w:b w:val="false"/>
          <w:i w:val="false"/>
          <w:color w:val="000000"/>
          <w:sz w:val="28"/>
        </w:rPr>
        <w:t>. мекен - жайы бойынша «электрондық үкімет» (бұдан әрі - ЭҮП)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органдармен көрсетілетін әлеуметтік қорғау саласында мемлекеттік қызмет стандарттарын бекіту туралы» (бұдан әрі - Стандарт)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 ресімдеу» регламентінде (бұдан әрі – Регламент)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w:t>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w:t>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w:t>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r>
        <w:br/>
      </w:r>
      <w:r>
        <w:rPr>
          <w:rFonts w:ascii="Times New Roman"/>
          <w:b w:val="false"/>
          <w:i w:val="false"/>
          <w:color w:val="000000"/>
          <w:sz w:val="28"/>
        </w:rPr>
        <w:t>
</w:t>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w:t>
      </w:r>
      <w:r>
        <w:rPr>
          <w:rFonts w:ascii="Times New Roman"/>
          <w:b w:val="false"/>
          <w:i w:val="false"/>
          <w:color w:val="000000"/>
          <w:sz w:val="28"/>
        </w:rPr>
        <w:t>
      6) мемлекеттік орган (бұдан әрі - ЖАО) – электронды мемлекеттік қызметті тікелей ұсынатын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7) медиа - 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w:t>
      </w:r>
      <w:r>
        <w:rPr>
          <w:rFonts w:ascii="Times New Roman"/>
          <w:b w:val="false"/>
          <w:i w:val="false"/>
          <w:color w:val="000000"/>
          <w:sz w:val="28"/>
        </w:rPr>
        <w:t>
      9) «электрондық үкіметтің» өңірлік шлюзі (бұдан әрі – ЭҮӨШ) – қызмет берушінің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әрекеттесуін қамтамасыз етуші ақпараттық жүйе;</w:t>
      </w:r>
      <w:r>
        <w:br/>
      </w:r>
      <w:r>
        <w:rPr>
          <w:rFonts w:ascii="Times New Roman"/>
          <w:b w:val="false"/>
          <w:i w:val="false"/>
          <w:color w:val="000000"/>
          <w:sz w:val="28"/>
        </w:rPr>
        <w:t>
</w:t>
      </w:r>
      <w:r>
        <w:rPr>
          <w:rFonts w:ascii="Times New Roman"/>
          <w:b w:val="false"/>
          <w:i w:val="false"/>
          <w:color w:val="000000"/>
          <w:sz w:val="28"/>
        </w:rPr>
        <w:t>
      10) құрылымдық – 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w:t>
      </w:r>
      <w:r>
        <w:rPr>
          <w:rFonts w:ascii="Times New Roman"/>
          <w:b w:val="false"/>
          <w:i w:val="false"/>
          <w:color w:val="000000"/>
          <w:sz w:val="28"/>
        </w:rPr>
        <w:t>
      12) уәкілетті орган - «Қызылжар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13)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15) электрондық құжат – ақпарат электрондық - сандық түрде ұсынылған және электрондық сандық қолтаңбамен берілген құжат;</w:t>
      </w:r>
      <w:r>
        <w:br/>
      </w:r>
      <w:r>
        <w:rPr>
          <w:rFonts w:ascii="Times New Roman"/>
          <w:b w:val="false"/>
          <w:i w:val="false"/>
          <w:color w:val="000000"/>
          <w:sz w:val="28"/>
        </w:rPr>
        <w:t>
</w:t>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3"/>
    <w:bookmarkStart w:name="z11" w:id="4"/>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қызмет беруші қызмет көрсету тәртібі</w:t>
      </w:r>
    </w:p>
    <w:bookmarkEnd w:id="4"/>
    <w:bookmarkStart w:name="z5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w:t>
      </w:r>
      <w:r>
        <w:rPr>
          <w:rFonts w:ascii="Times New Roman"/>
          <w:b w:val="false"/>
          <w:i w:val="false"/>
          <w:color w:val="000000"/>
          <w:sz w:val="28"/>
        </w:rPr>
        <w:t>
      1) 1 процесс – ЖАО қызметкерімен ЖСН (бар болған жағдайда немесе 2012 жылғы 31 желтоқсанға дейінгі мерзімімен оны алмастыратын СТН және ЖСН )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w:t>
      </w:r>
      <w:r>
        <w:rPr>
          <w:rFonts w:ascii="Times New Roman"/>
          <w:b w:val="false"/>
          <w:i w:val="false"/>
          <w:color w:val="000000"/>
          <w:sz w:val="28"/>
        </w:rPr>
        <w:t>
      2) 1 шарт – ЖСН (бар болған жағдайда немесе 2012 жылғы 31 желтоқсанға дейінгі мерзімімен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w:t>
      </w:r>
      <w:r>
        <w:rPr>
          <w:rFonts w:ascii="Times New Roman"/>
          <w:b w:val="false"/>
          <w:i w:val="false"/>
          <w:color w:val="000000"/>
          <w:sz w:val="28"/>
        </w:rPr>
        <w:t>
      3)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4)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ЖАО қызметкерімен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5)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w:t>
      </w:r>
      <w:r>
        <w:rPr>
          <w:rFonts w:ascii="Times New Roman"/>
          <w:b w:val="false"/>
          <w:i w:val="false"/>
          <w:color w:val="000000"/>
          <w:sz w:val="28"/>
        </w:rPr>
        <w:t>
      6)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(бар болған жағдайда немесе 2012 жылғы 31 желтоқсанға дейінгі мерзімімен оны алмастыратын СТН және 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w:t>
      </w:r>
      <w:r>
        <w:rPr>
          <w:rFonts w:ascii="Times New Roman"/>
          <w:b w:val="false"/>
          <w:i w:val="false"/>
          <w:color w:val="000000"/>
          <w:sz w:val="28"/>
        </w:rPr>
        <w:t>
      7) 5 процесс – ЖАО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 процесс – ЖАО қызметкерімен электрондық мемлекеттік қызметті өңдеу;</w:t>
      </w:r>
      <w:r>
        <w:br/>
      </w:r>
      <w:r>
        <w:rPr>
          <w:rFonts w:ascii="Times New Roman"/>
          <w:b w:val="false"/>
          <w:i w:val="false"/>
          <w:color w:val="000000"/>
          <w:sz w:val="28"/>
        </w:rPr>
        <w:t>
</w:t>
      </w:r>
      <w:r>
        <w:rPr>
          <w:rFonts w:ascii="Times New Roman"/>
          <w:b w:val="false"/>
          <w:i w:val="false"/>
          <w:color w:val="000000"/>
          <w:sz w:val="28"/>
        </w:rPr>
        <w:t>
      9) 7 процесс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w:t>
      </w:r>
      <w:r>
        <w:br/>
      </w:r>
      <w:r>
        <w:rPr>
          <w:rFonts w:ascii="Times New Roman"/>
          <w:b w:val="false"/>
          <w:i w:val="false"/>
          <w:color w:val="000000"/>
          <w:sz w:val="28"/>
        </w:rPr>
        <w:t>
</w:t>
      </w:r>
      <w:r>
        <w:rPr>
          <w:rFonts w:ascii="Times New Roman"/>
          <w:b w:val="false"/>
          <w:i w:val="false"/>
          <w:color w:val="000000"/>
          <w:sz w:val="28"/>
        </w:rPr>
        <w:t>
      10) 8 процесс – электрондық мемлекеттік қызмет нәтижесін ЖАО қызметкерімен қолма -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w:t>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процесс - тұтынушымен электрондық мемлекеттік қызмет алу үшін ЭҮП ЖСН (бар болған жағдайда немесе 2012 жылғы 31 желтоқсанға дейінгі мерзімімен оны алмастыратын СТН және ЖСН) мен парольді (авторизациялау процесі) енгізу процесі;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w:t>
      </w:r>
      <w:r>
        <w:rPr>
          <w:rFonts w:ascii="Times New Roman"/>
          <w:b w:val="false"/>
          <w:i w:val="false"/>
          <w:color w:val="000000"/>
          <w:sz w:val="28"/>
        </w:rPr>
        <w:t>
      4) 2 процесс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w:t>
      </w:r>
      <w:r>
        <w:rPr>
          <w:rFonts w:ascii="Times New Roman"/>
          <w:b w:val="false"/>
          <w:i w:val="false"/>
          <w:color w:val="000000"/>
          <w:sz w:val="28"/>
        </w:rPr>
        <w:t>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w:t>
      </w:r>
      <w:r>
        <w:rPr>
          <w:rFonts w:ascii="Times New Roman"/>
          <w:b w:val="false"/>
          <w:i w:val="false"/>
          <w:color w:val="000000"/>
          <w:sz w:val="28"/>
        </w:rPr>
        <w:t>
      7) 2 шарт – сәйкестендіру мәліметтерінің сәйкестілігін, (сұранымда көрсетілген ЖСН (бар болған жағдайда немесе 2012 жылғы 31 желтоқсанға дейінгі мерзімімен оны алмастыратын СТН және ЖСН) және ЭСҚ тіркеу куәлігінде көрсетілген 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w:t>
      </w:r>
      <w:r>
        <w:rPr>
          <w:rFonts w:ascii="Times New Roman"/>
          <w:b w:val="false"/>
          <w:i w:val="false"/>
          <w:color w:val="000000"/>
          <w:sz w:val="28"/>
        </w:rPr>
        <w:t>
      8) 5 процесс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6 процесс – тұтынушы ЭСҚ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w:t>
      </w:r>
      <w:r>
        <w:rPr>
          <w:rFonts w:ascii="Times New Roman"/>
          <w:b w:val="false"/>
          <w:i w:val="false"/>
          <w:color w:val="000000"/>
          <w:sz w:val="28"/>
        </w:rPr>
        <w:t>
      10) 7 процесс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 - 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 </w:t>
      </w:r>
      <w:r>
        <w:br/>
      </w:r>
      <w:r>
        <w:rPr>
          <w:rFonts w:ascii="Times New Roman"/>
          <w:b/>
          <w:i w:val="false"/>
          <w:color w:val="000000"/>
        </w:rPr>
        <w:t>
өзара әрекеттесу тәртібін сипаттау</w:t>
      </w:r>
    </w:p>
    <w:bookmarkEnd w:id="6"/>
    <w:bookmarkStart w:name="z17" w:id="7"/>
    <w:p>
      <w:pPr>
        <w:spacing w:after="0"/>
        <w:ind w:left="0"/>
        <w:jc w:val="both"/>
      </w:pPr>
      <w:r>
        <w:rPr>
          <w:rFonts w:ascii="Times New Roman"/>
          <w:b w:val="false"/>
          <w:i w:val="false"/>
          <w:color w:val="000000"/>
          <w:sz w:val="28"/>
        </w:rPr>
        <w:t>      11. Мемлекеттік қызмет көрсету процесіне мынадай құрылымдық - функционалдық бірліктер қатысады (бұдан әрі - ҚФЕ):</w:t>
      </w:r>
      <w:r>
        <w:br/>
      </w:r>
      <w:r>
        <w:rPr>
          <w:rFonts w:ascii="Times New Roman"/>
          <w:b w:val="false"/>
          <w:i w:val="false"/>
          <w:color w:val="000000"/>
          <w:sz w:val="28"/>
        </w:rPr>
        <w:t>
      ЖАО қызметкері.</w:t>
      </w:r>
      <w:r>
        <w:br/>
      </w:r>
      <w:r>
        <w:rPr>
          <w:rFonts w:ascii="Times New Roman"/>
          <w:b w:val="false"/>
          <w:i w:val="false"/>
          <w:color w:val="000000"/>
          <w:sz w:val="28"/>
        </w:rPr>
        <w:t>
      12. Әрбір әкімшілік іс - 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процессінде әкімшілік іс -әрекеттердің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ЖСН(бар болған жағдайда немесе 2012 жылғы 31 желтоқсанға дейінгі мерзімімен оны алмастыратын СТН және ЖСН) болуы, ЭҮП авторизациялау, пайдаланушының ЭСҚ болуы.</w:t>
      </w:r>
    </w:p>
    <w:bookmarkEnd w:id="7"/>
    <w:bookmarkStart w:name="z23" w:id="8"/>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 1-қосымша</w:t>
      </w:r>
    </w:p>
    <w:bookmarkEnd w:id="8"/>
    <w:p>
      <w:pPr>
        <w:spacing w:after="0"/>
        <w:ind w:left="0"/>
        <w:jc w:val="left"/>
      </w:pPr>
      <w:r>
        <w:rPr>
          <w:rFonts w:ascii="Times New Roman"/>
          <w:b/>
          <w:i w:val="false"/>
          <w:color w:val="000000"/>
        </w:rPr>
        <w:t xml:space="preserve"> 1 кесте. ЖАО арқылы іс -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383"/>
        <w:gridCol w:w="2896"/>
        <w:gridCol w:w="3490"/>
        <w:gridCol w:w="22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1.Негізгі процестің іс - әрекеті (жұмыс барысы, ағыны)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сұрауды тіркеу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 әрекеттің нөмірі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55"/>
        <w:gridCol w:w="4029"/>
        <w:gridCol w:w="2461"/>
        <w:gridCol w:w="22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процестің іс - әрекеті (жұмыс барысы, ағыны)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-өкімдік шешім)</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 ресімдеу немесе негізделген бас тарту туралы хабарлама қалыптастыру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 әрекеттің нөмірі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031"/>
        <w:gridCol w:w="3635"/>
        <w:gridCol w:w="3240"/>
        <w:gridCol w:w="2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процестің іс - әрекеті (жұмыс барысы, ағыны)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шығыс құжатына қол қоюы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 қол немесе тұтынушы электрондық поштасына жіберу арқылы беру.</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қойылған шығыс құжаты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left"/>
      </w:pPr>
      <w:r>
        <w:rPr>
          <w:rFonts w:ascii="Times New Roman"/>
          <w:b/>
          <w:i w:val="false"/>
          <w:color w:val="000000"/>
        </w:rPr>
        <w:t xml:space="preserve"> 
2.кесте. ЭҮП арқылы іс - 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537"/>
        <w:gridCol w:w="2794"/>
        <w:gridCol w:w="1832"/>
        <w:gridCol w:w="2431"/>
        <w:gridCol w:w="24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1.Негізгі процестің іс - әрекеті (жұмыс барысы, ағыны)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w:t>
            </w:r>
            <w:r>
              <w:br/>
            </w:r>
            <w:r>
              <w:rPr>
                <w:rFonts w:ascii="Times New Roman"/>
                <w:b w:val="false"/>
                <w:i w:val="false"/>
                <w:color w:val="000000"/>
                <w:sz w:val="20"/>
              </w:rPr>
              <w:t>
ның) атауы және оның сипаттамасы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w:t>
            </w:r>
            <w:r>
              <w:br/>
            </w:r>
            <w:r>
              <w:rPr>
                <w:rFonts w:ascii="Times New Roman"/>
                <w:b w:val="false"/>
                <w:i w:val="false"/>
                <w:color w:val="000000"/>
                <w:sz w:val="20"/>
              </w:rPr>
              <w:t>
дің дұрыстығын тексеру.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(енгізілген мәліметтердің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(енгізілген мәлімет</w:t>
            </w:r>
            <w:r>
              <w:br/>
            </w:r>
            <w:r>
              <w:rPr>
                <w:rFonts w:ascii="Times New Roman"/>
                <w:b w:val="false"/>
                <w:i w:val="false"/>
                <w:color w:val="000000"/>
                <w:sz w:val="20"/>
              </w:rPr>
              <w:t>
тердің дұрыстығы жағдайында)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w:t>
            </w:r>
            <w:r>
              <w:br/>
            </w:r>
            <w:r>
              <w:rPr>
                <w:rFonts w:ascii="Times New Roman"/>
                <w:b w:val="false"/>
                <w:i w:val="false"/>
                <w:color w:val="000000"/>
                <w:sz w:val="20"/>
              </w:rPr>
              <w:t>
тығы жағдайын</w:t>
            </w:r>
            <w:r>
              <w:br/>
            </w:r>
            <w:r>
              <w:rPr>
                <w:rFonts w:ascii="Times New Roman"/>
                <w:b w:val="false"/>
                <w:i w:val="false"/>
                <w:color w:val="000000"/>
                <w:sz w:val="20"/>
              </w:rPr>
              <w:t>
да)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хабарламаны жолдау (енгізілген мәліметтердің дұрыстығы жағдайында)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w:t>
            </w:r>
            <w:r>
              <w:br/>
            </w:r>
            <w:r>
              <w:rPr>
                <w:rFonts w:ascii="Times New Roman"/>
                <w:b w:val="false"/>
                <w:i w:val="false"/>
                <w:color w:val="000000"/>
                <w:sz w:val="20"/>
              </w:rPr>
              <w:t>
тердің дұрыстығы жағдайында)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446"/>
        <w:gridCol w:w="3818"/>
        <w:gridCol w:w="1656"/>
        <w:gridCol w:w="2051"/>
        <w:gridCol w:w="20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2.Негізгі процестің іс - әрекеті (жұмыс барысы, ағыны)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«жұмыста» мәртебе</w:t>
            </w:r>
            <w:r>
              <w:br/>
            </w:r>
            <w:r>
              <w:rPr>
                <w:rFonts w:ascii="Times New Roman"/>
                <w:b w:val="false"/>
                <w:i w:val="false"/>
                <w:color w:val="000000"/>
                <w:sz w:val="20"/>
              </w:rPr>
              <w:t>
сін ауыстыру туралы хабарлама жолдау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w:t>
            </w:r>
            <w:r>
              <w:br/>
            </w:r>
            <w:r>
              <w:rPr>
                <w:rFonts w:ascii="Times New Roman"/>
                <w:b w:val="false"/>
                <w:i w:val="false"/>
                <w:color w:val="000000"/>
                <w:sz w:val="20"/>
              </w:rPr>
              <w:t>
сін көрсету</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450"/>
        <w:gridCol w:w="1922"/>
        <w:gridCol w:w="2771"/>
        <w:gridCol w:w="1881"/>
        <w:gridCol w:w="20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 - әрекеті (жұмыс барысы, ағыны)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(процестің, рәсімнің, операцияның) атауы және оның сипаттамасы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ЭСҚ шығыс құжатына қол қоюы. ЭҮП қызмет көрсе-ту мәртебесін ауыстыру туралы хабарлама жасау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w:t>
            </w:r>
            <w:r>
              <w:br/>
            </w:r>
            <w:r>
              <w:rPr>
                <w:rFonts w:ascii="Times New Roman"/>
                <w:b w:val="false"/>
                <w:i w:val="false"/>
                <w:color w:val="000000"/>
                <w:sz w:val="20"/>
              </w:rPr>
              <w:t>
сіне ауыстыру туралы хабар</w:t>
            </w:r>
            <w:r>
              <w:br/>
            </w:r>
            <w:r>
              <w:rPr>
                <w:rFonts w:ascii="Times New Roman"/>
                <w:b w:val="false"/>
                <w:i w:val="false"/>
                <w:color w:val="000000"/>
                <w:sz w:val="20"/>
              </w:rPr>
              <w:t>
лама жолдау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w:t>
            </w:r>
            <w:r>
              <w:br/>
            </w:r>
            <w:r>
              <w:rPr>
                <w:rFonts w:ascii="Times New Roman"/>
                <w:b w:val="false"/>
                <w:i w:val="false"/>
                <w:color w:val="000000"/>
                <w:sz w:val="20"/>
              </w:rPr>
              <w:t>
гімен қызмет көрсетуді аяқтау туралы хабарлама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bl>
    <w:bookmarkStart w:name="z25" w:id="10"/>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0"/>
    <w:p>
      <w:pPr>
        <w:spacing w:after="0"/>
        <w:ind w:left="0"/>
        <w:jc w:val="both"/>
      </w:pPr>
      <w:r>
        <w:drawing>
          <wp:inline distT="0" distB="0" distL="0" distR="0">
            <wp:extent cx="89789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78900" cy="5816600"/>
                    </a:xfrm>
                    <a:prstGeom prst="rect">
                      <a:avLst/>
                    </a:prstGeom>
                  </pic:spPr>
                </pic:pic>
              </a:graphicData>
            </a:graphic>
          </wp:inline>
        </w:drawing>
      </w:r>
    </w:p>
    <w:bookmarkStart w:name="z26" w:id="11"/>
    <w:p>
      <w:pPr>
        <w:spacing w:after="0"/>
        <w:ind w:left="0"/>
        <w:jc w:val="left"/>
      </w:pPr>
      <w:r>
        <w:rPr>
          <w:rFonts w:ascii="Times New Roman"/>
          <w:b/>
          <w:i w:val="false"/>
          <w:color w:val="000000"/>
        </w:rPr>
        <w:t xml:space="preserve"> 
1-сурет. ЖАО АЖ арқылы «жартылай автоматтандырылған» электрондық мемлекеттік қызмет көрсету кезіндегі</w:t>
      </w:r>
      <w:r>
        <w:br/>
      </w:r>
      <w:r>
        <w:rPr>
          <w:rFonts w:ascii="Times New Roman"/>
          <w:b/>
          <w:i w:val="false"/>
          <w:color w:val="000000"/>
        </w:rPr>
        <w:t>
өзара функционалдық әрекеттесу диаграммасы</w:t>
      </w:r>
    </w:p>
    <w:bookmarkEnd w:id="11"/>
    <w:p>
      <w:pPr>
        <w:spacing w:after="0"/>
        <w:ind w:left="0"/>
        <w:jc w:val="both"/>
      </w:pPr>
      <w:r>
        <w:drawing>
          <wp:inline distT="0" distB="0" distL="0" distR="0">
            <wp:extent cx="9004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04300" cy="4483100"/>
                    </a:xfrm>
                    <a:prstGeom prst="rect">
                      <a:avLst/>
                    </a:prstGeom>
                  </pic:spPr>
                </pic:pic>
              </a:graphicData>
            </a:graphic>
          </wp:inline>
        </w:drawing>
      </w:r>
    </w:p>
    <w:bookmarkStart w:name="z27" w:id="12"/>
    <w:p>
      <w:pPr>
        <w:spacing w:after="0"/>
        <w:ind w:left="0"/>
        <w:jc w:val="left"/>
      </w:pPr>
      <w:r>
        <w:rPr>
          <w:rFonts w:ascii="Times New Roman"/>
          <w:b/>
          <w:i w:val="false"/>
          <w:color w:val="000000"/>
        </w:rPr>
        <w:t xml:space="preserve"> 
2-сурет. ЭҮП арқылы «жартылай автоматтандырылған» электрондық мемлекеттік қызмет көрсету кезіндегі өзара функционалдық әрекеттесу диаграммасы</w:t>
      </w:r>
    </w:p>
    <w:bookmarkEnd w:id="12"/>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5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Диаграмманы үлгілік ресімдеу бизнес - процесті өңдеу үшін пайдаланылатын BPMN 1.2 графикалық нотацияларында келтірілген. BPMN - 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8" w:id="13"/>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көрсету Регламентіне 3-қосымша</w:t>
      </w:r>
    </w:p>
    <w:bookmarkEnd w:id="13"/>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үлгісі____________________________________________________________</w:t>
      </w:r>
    </w:p>
    <w:p>
      <w:pPr>
        <w:spacing w:after="0"/>
        <w:ind w:left="0"/>
        <w:jc w:val="both"/>
      </w:pPr>
      <w:r>
        <w:rPr>
          <w:rFonts w:ascii="Times New Roman"/>
          <w:b w:val="false"/>
          <w:i w:val="false"/>
          <w:color w:val="000000"/>
          <w:sz w:val="28"/>
        </w:rPr>
        <w:t>(қызмет атауы)</w:t>
      </w:r>
    </w:p>
    <w:bookmarkStart w:name="z29" w:id="14"/>
    <w:p>
      <w:pPr>
        <w:spacing w:after="0"/>
        <w:ind w:left="0"/>
        <w:jc w:val="both"/>
      </w:pPr>
      <w:r>
        <w:rPr>
          <w:rFonts w:ascii="Times New Roman"/>
          <w:b w:val="false"/>
          <w:i w:val="false"/>
          <w:color w:val="000000"/>
          <w:sz w:val="28"/>
        </w:rPr>
        <w:t>
      1.Сіз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End w:id="14"/>
    <w:bookmarkStart w:name="z30" w:id="15"/>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End w:id="15"/>
    <w:bookmarkStart w:name="z31" w:id="16"/>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 4-қосымша</w:t>
      </w:r>
    </w:p>
    <w:bookmarkEnd w:id="16"/>
    <w:p>
      <w:pPr>
        <w:spacing w:after="0"/>
        <w:ind w:left="0"/>
        <w:jc w:val="both"/>
      </w:pPr>
      <w:r>
        <w:rPr>
          <w:rFonts w:ascii="Times New Roman"/>
          <w:b/>
          <w:i w:val="false"/>
          <w:color w:val="000000"/>
          <w:sz w:val="28"/>
        </w:rPr>
        <w:t>Электрондық мемлекеттік қызметке өтініштің экрандық үлгісі</w:t>
      </w:r>
    </w:p>
    <w:p>
      <w:pPr>
        <w:spacing w:after="0"/>
        <w:ind w:left="0"/>
        <w:jc w:val="both"/>
      </w:pPr>
      <w:r>
        <w:drawing>
          <wp:inline distT="0" distB="0" distL="0" distR="0">
            <wp:extent cx="6286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86500" cy="5575300"/>
                    </a:xfrm>
                    <a:prstGeom prst="rect">
                      <a:avLst/>
                    </a:prstGeom>
                  </pic:spPr>
                </pic:pic>
              </a:graphicData>
            </a:graphic>
          </wp:inline>
        </w:drawing>
      </w:r>
    </w:p>
    <w:p>
      <w:pPr>
        <w:spacing w:after="0"/>
        <w:ind w:left="0"/>
        <w:jc w:val="both"/>
      </w:pPr>
      <w:r>
        <w:drawing>
          <wp:inline distT="0" distB="0" distL="0" distR="0">
            <wp:extent cx="78994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99400" cy="2552700"/>
                    </a:xfrm>
                    <a:prstGeom prst="rect">
                      <a:avLst/>
                    </a:prstGeom>
                  </pic:spPr>
                </pic:pic>
              </a:graphicData>
            </a:graphic>
          </wp:inline>
        </w:drawing>
      </w:r>
    </w:p>
    <w:p>
      <w:pPr>
        <w:spacing w:after="0"/>
        <w:ind w:left="0"/>
        <w:jc w:val="both"/>
      </w:pPr>
      <w:r>
        <w:rPr>
          <w:rFonts w:ascii="Times New Roman"/>
          <w:b w:val="false"/>
          <w:i w:val="false"/>
          <w:color w:val="000000"/>
          <w:sz w:val="28"/>
        </w:rPr>
        <w:t>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 - 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есеп шоты болуы туралы құжаттың электрондық көшірмесі.</w:t>
      </w:r>
    </w:p>
    <w:bookmarkStart w:name="z32" w:id="17"/>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 ресімдеу»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5-қосымша</w:t>
      </w:r>
    </w:p>
    <w:bookmarkEnd w:id="17"/>
    <w:p>
      <w:pPr>
        <w:spacing w:after="0"/>
        <w:ind w:left="0"/>
        <w:jc w:val="left"/>
      </w:pPr>
      <w:r>
        <w:rPr>
          <w:rFonts w:ascii="Times New Roman"/>
          <w:b/>
          <w:i w:val="false"/>
          <w:color w:val="000000"/>
        </w:rPr>
        <w:t xml:space="preserve"> Электрондық мемлекеттік қызметке оң жауабының шығыс</w:t>
      </w:r>
      <w:r>
        <w:br/>
      </w:r>
      <w:r>
        <w:rPr>
          <w:rFonts w:ascii="Times New Roman"/>
          <w:b/>
          <w:i w:val="false"/>
          <w:color w:val="000000"/>
        </w:rPr>
        <w:t>
үлгісі(үйде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26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261100" cy="8001000"/>
                    </a:xfrm>
                    <a:prstGeom prst="rect">
                      <a:avLst/>
                    </a:prstGeom>
                  </pic:spPr>
                </pic:pic>
              </a:graphicData>
            </a:graphic>
          </wp:inline>
        </w:drawing>
      </w:r>
    </w:p>
    <w:bookmarkStart w:name="z33" w:id="18"/>
    <w:p>
      <w:pPr>
        <w:spacing w:after="0"/>
        <w:ind w:left="0"/>
        <w:jc w:val="left"/>
      </w:pPr>
      <w:r>
        <w:rPr>
          <w:rFonts w:ascii="Times New Roman"/>
          <w:b/>
          <w:i w:val="false"/>
          <w:color w:val="000000"/>
        </w:rPr>
        <w:t xml:space="preserve"> 
Тұтынушыға ұсынылатын хабарламалар</w:t>
      </w:r>
    </w:p>
    <w:bookmarkEnd w:id="18"/>
    <w:p>
      <w:pPr>
        <w:spacing w:after="0"/>
        <w:ind w:left="0"/>
        <w:jc w:val="both"/>
      </w:pPr>
      <w:r>
        <w:rPr>
          <w:rFonts w:ascii="Times New Roman"/>
          <w:b w:val="false"/>
          <w:i w:val="false"/>
          <w:color w:val="000000"/>
          <w:sz w:val="28"/>
        </w:rPr>
        <w:t>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bookmarkStart w:name="z34" w:id="19"/>
    <w:p>
      <w:pPr>
        <w:spacing w:after="0"/>
        <w:ind w:left="0"/>
        <w:jc w:val="left"/>
      </w:pPr>
      <w:r>
        <w:rPr>
          <w:rFonts w:ascii="Times New Roman"/>
          <w:b/>
          <w:i w:val="false"/>
          <w:color w:val="000000"/>
        </w:rPr>
        <w:t xml:space="preserve"> 
Электрондық мемлекеттік қызметке теріс жауаптың (бас тарту) шығыс үлгісі</w:t>
      </w:r>
    </w:p>
    <w:bookmarkEnd w:id="19"/>
    <w:p>
      <w:pPr>
        <w:spacing w:after="0"/>
        <w:ind w:left="0"/>
        <w:jc w:val="both"/>
      </w:pPr>
      <w:r>
        <w:rPr>
          <w:rFonts w:ascii="Times New Roman"/>
          <w:b w:val="false"/>
          <w:i w:val="false"/>
          <w:color w:val="000000"/>
          <w:sz w:val="28"/>
        </w:rPr>
        <w:t>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