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7381" w14:textId="5b67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5 қыркүйектегі N 344 қаулысы. Солтүстік Қазақстан облысының Әділет департаментінде 2012 жылғы 14 қыркүйекте N 1862 тіркелді. Күші жойылды - Солтүстік Қазақстан облысы Мамлют аудандық әкімдігінің 2012 жылғы 25 желтоқсандағы N 501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Мамлют аудандық әкімдігінің 25.12.2012 </w:t>
      </w:r>
      <w:r>
        <w:rPr>
          <w:rFonts w:ascii="Times New Roman"/>
          <w:b w:val="false"/>
          <w:i w:val="false"/>
          <w:color w:val="ff0000"/>
          <w:sz w:val="28"/>
        </w:rPr>
        <w:t>N 501</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«Мемлекеттік атаулы әлеуметтік көмек тағайындау» электрондық мемлекеттік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Мамлют ауданы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Қалиев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5" w:id="2"/>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05 қыркүйектегі № 344</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«Мемлекеттік атаулы әлеуметтік көмек тағайындау»электрондық мемлекеттік қызмет регламенті 1. Жалпы ережелер</w:t>
      </w:r>
    </w:p>
    <w:bookmarkStart w:name="z6" w:id="3"/>
    <w:p>
      <w:pPr>
        <w:spacing w:after="0"/>
        <w:ind w:left="0"/>
        <w:jc w:val="both"/>
      </w:pPr>
      <w:r>
        <w:rPr>
          <w:rFonts w:ascii="Times New Roman"/>
          <w:b w:val="false"/>
          <w:i w:val="false"/>
          <w:color w:val="000000"/>
          <w:sz w:val="28"/>
        </w:rPr>
        <w:t xml:space="preserve">
      1. Электрондық мемлекеттік қызмет «Мамлют ауданының жұмыспен қамту және әлеуметтік бағдарламалар бөлімі» мемлекеттік мекемесімен (бұдан әрі - ЖАО), сонымен қатар </w:t>
      </w:r>
      <w:r>
        <w:rPr>
          <w:rFonts w:ascii="Times New Roman"/>
          <w:b w:val="false"/>
          <w:i w:val="false"/>
          <w:color w:val="000000"/>
          <w:sz w:val="28"/>
          <w:u w:val="single"/>
        </w:rPr>
        <w:t>www.e.gov.kz</w:t>
      </w:r>
      <w:r>
        <w:rPr>
          <w:rFonts w:ascii="Times New Roman"/>
          <w:b w:val="false"/>
          <w:i w:val="false"/>
          <w:color w:val="000000"/>
          <w:sz w:val="28"/>
        </w:rPr>
        <w:t>. мекен-жайы бойынша «электрондық үкімет»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«Жергілікті атқарушы органдармен көрсетілетін әлеуметтік қорғау саласында мемлекеттік қызмет стандарттарын бекіту туралы» (бұдан әрі - Стандарт) Қазақстан Республикасы Үкіметінің 2011 жылғы 7 сәуірдегі № 394 қаулысымен бекітілген «Мемлекеттік атаулы әлеуметтік көмек тағайындау»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жартылай автоматтандырылған (медиа–алшақтығы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атаулы әлеуметтік көмек тағайындау» регламентінде (бұдан әрі – Регламент) мынадай ұғымдар қолданылады:</w:t>
      </w:r>
      <w:r>
        <w:br/>
      </w:r>
      <w:r>
        <w:rPr>
          <w:rFonts w:ascii="Times New Roman"/>
          <w:b w:val="false"/>
          <w:i w:val="false"/>
          <w:color w:val="000000"/>
          <w:sz w:val="28"/>
        </w:rPr>
        <w:t>
      1) «электрондық үкіметтің» веб-порталы (бұдан әрі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(бар болған жағдайда немесе 2012 жылғы 31 желтоқсанға дейінгі мерзімімен оны алмастыратын СТН және ЖСН);</w:t>
      </w:r>
      <w:r>
        <w:br/>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ақпарттық жүйесі;</w:t>
      </w:r>
      <w:r>
        <w:br/>
      </w:r>
      <w:r>
        <w:rPr>
          <w:rFonts w:ascii="Times New Roman"/>
          <w:b w:val="false"/>
          <w:i w:val="false"/>
          <w:color w:val="000000"/>
          <w:sz w:val="28"/>
        </w:rPr>
        <w:t>
      5) ҰКО АЖ - Қазақстан Республикасының ұлттық куәландырушы орталығының ақпараттық жүйесі.</w:t>
      </w:r>
      <w:r>
        <w:br/>
      </w:r>
      <w:r>
        <w:rPr>
          <w:rFonts w:ascii="Times New Roman"/>
          <w:b w:val="false"/>
          <w:i w:val="false"/>
          <w:color w:val="000000"/>
          <w:sz w:val="28"/>
        </w:rPr>
        <w:t>
      6) мемлекеттік орган (бұдан әрі - ЖАО) – электронды мемлекеттік қызметті тікелей ұсынатын «Мамлют ауданының жұмыспен қамту және әлеуметтік бағдарламалар бөлімі» мемлекеттік мекемесі;</w:t>
      </w:r>
      <w:r>
        <w:br/>
      </w:r>
      <w:r>
        <w:rPr>
          <w:rFonts w:ascii="Times New Roman"/>
          <w:b w:val="false"/>
          <w:i w:val="false"/>
          <w:color w:val="000000"/>
          <w:sz w:val="28"/>
        </w:rPr>
        <w:t>
      7) медиа - 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w:t>
      </w:r>
      <w:r>
        <w:br/>
      </w:r>
      <w:r>
        <w:rPr>
          <w:rFonts w:ascii="Times New Roman"/>
          <w:b w:val="false"/>
          <w:i w:val="false"/>
          <w:color w:val="000000"/>
          <w:sz w:val="28"/>
        </w:rPr>
        <w:t>
      8) тұтынушы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9) «электрондық үкіметтің» өңірлік шлюзі (бұдан әрі – ЭҮӨШ) – ЖАО электрондық қызметтер көрсету процесіне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10) ҚФБ - құрылымдық-функционалдық бірліктер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12)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13) электрондық құжат – ақпарат электрондық - сандық түрде ұсынылған және электрондық сандық қолтаңбамен берілген құжат;</w:t>
      </w:r>
      <w:r>
        <w:br/>
      </w:r>
      <w:r>
        <w:rPr>
          <w:rFonts w:ascii="Times New Roman"/>
          <w:b w:val="false"/>
          <w:i w:val="false"/>
          <w:color w:val="000000"/>
          <w:sz w:val="28"/>
        </w:rPr>
        <w:t>
      14)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15)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3"/>
    <w:bookmarkStart w:name="z11" w:id="4"/>
    <w:p>
      <w:pPr>
        <w:spacing w:after="0"/>
        <w:ind w:left="0"/>
        <w:jc w:val="left"/>
      </w:pPr>
      <w:r>
        <w:rPr>
          <w:rFonts w:ascii="Times New Roman"/>
          <w:b/>
          <w:i w:val="false"/>
          <w:color w:val="000000"/>
        </w:rPr>
        <w:t xml:space="preserve"> 
2. Мемлекеттік қызмет көрсету бойынша қызмет берушінің қызмет көрсету тәртібі</w:t>
      </w:r>
    </w:p>
    <w:bookmarkEnd w:id="4"/>
    <w:bookmarkStart w:name="z12" w:id="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жарым-жарты автоматтандырылған мемлекеттік қызметін көрсету кезінде қызмет берушінің адымдық іс-әрекеттері мен шешімдері (1 сурет):</w:t>
      </w:r>
      <w:r>
        <w:br/>
      </w:r>
      <w:r>
        <w:rPr>
          <w:rFonts w:ascii="Times New Roman"/>
          <w:b w:val="false"/>
          <w:i w:val="false"/>
          <w:color w:val="000000"/>
          <w:sz w:val="28"/>
        </w:rPr>
        <w:t>
      1) тұтынушы қызмет алу үшін өзімен бірге өтініш пен қажетті құжат түпнұсқаларымен ЖАО жүгінуі тиіс. ЖАО қызметкерімен тұтынушының өтініші мен қажетті құжаттарының дұрыстығын тексеру.</w:t>
      </w:r>
      <w:r>
        <w:br/>
      </w:r>
      <w:r>
        <w:rPr>
          <w:rFonts w:ascii="Times New Roman"/>
          <w:b w:val="false"/>
          <w:i w:val="false"/>
          <w:color w:val="000000"/>
          <w:sz w:val="28"/>
        </w:rPr>
        <w:t>
      2) 1 - үдеріс – ЖАО қызметкерімен ЖСН (бар болған жағдайда немесе 2012 жылғы 31 желтоқсанға дейінгі мерзімімен оны алмастыратын СТН және ЖСН )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3) 1 - шарт – ЖСН және пароль арқылы ЖАО тіркелген қызметкер туралы деректердің түпнұсқалығын ЖАО АЖ тексеру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4) 2 - 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3 - үдеріс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ЖАО қызметкерімен ЭСҚ тіркеу куәлігін таңдау;</w:t>
      </w:r>
      <w:r>
        <w:br/>
      </w:r>
      <w:r>
        <w:rPr>
          <w:rFonts w:ascii="Times New Roman"/>
          <w:b w:val="false"/>
          <w:i w:val="false"/>
          <w:color w:val="000000"/>
          <w:sz w:val="28"/>
        </w:rPr>
        <w:t>
      6) 4 - үдеріс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w:t>
      </w:r>
      <w:r>
        <w:br/>
      </w:r>
      <w:r>
        <w:rPr>
          <w:rFonts w:ascii="Times New Roman"/>
          <w:b w:val="false"/>
          <w:i w:val="false"/>
          <w:color w:val="000000"/>
          <w:sz w:val="28"/>
        </w:rPr>
        <w:t>
      7) 2 -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 және ЭСҚ тіркеу куәлігінде көрсетілген ЖСН) ЭСҚ тіркеу куәлігінің әрекет ету мерзімін және ЖАО АЖ тіркеу куәлігінің шақыртылған (жойылған) тізімінде жоқтығын тексеру (бар болған жағдайда немесе 2012 жылғы 31 желтоқсанға дейінгі мерзімімен оны алмастыратын СТН және ЖСН);</w:t>
      </w:r>
      <w:r>
        <w:br/>
      </w:r>
      <w:r>
        <w:rPr>
          <w:rFonts w:ascii="Times New Roman"/>
          <w:b w:val="false"/>
          <w:i w:val="false"/>
          <w:color w:val="000000"/>
          <w:sz w:val="28"/>
        </w:rPr>
        <w:t>
      8) 5 - үдеріс – ЖАО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 үдеріс – ЖАО қызметкерімен электрондық мемлекеттік қызметті өңдеу;</w:t>
      </w:r>
      <w:r>
        <w:br/>
      </w:r>
      <w:r>
        <w:rPr>
          <w:rFonts w:ascii="Times New Roman"/>
          <w:b w:val="false"/>
          <w:i w:val="false"/>
          <w:color w:val="000000"/>
          <w:sz w:val="28"/>
        </w:rPr>
        <w:t>
      10) 7 - үдеріс - ЖАО қызметкерімен электрондық мемлекеттік қызмет көрсету нәтижесін құру. Электрондық құжат ЖАО қызметкерінің ЭСҚ пайдаланумен құрылады (мемлекеттік атаулы әлеуметтік көмекті тағайындау туралы хабарлама немесе мемлекеттік қызмет көрсетуден бас тарту туралы дәлелді жауап);</w:t>
      </w:r>
      <w:r>
        <w:br/>
      </w:r>
      <w:r>
        <w:rPr>
          <w:rFonts w:ascii="Times New Roman"/>
          <w:b w:val="false"/>
          <w:i w:val="false"/>
          <w:color w:val="000000"/>
          <w:sz w:val="28"/>
        </w:rPr>
        <w:t>
      11) 8 - үдеріс –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ЭҮП арқылы қадамдық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тұтынушы ЖСН (бар болған жағдайда немесе 2012 жылғы 31 желтоқсанға дейінгі мерзімімен оны алмастыратын СТН және ЖСН ) мен пароль (ЭҮП тіркелмеген тұтынушылар үшін жүзеге асырылады) көмегімен ЭҮП тіркеуді жүзеге асырады;</w:t>
      </w:r>
      <w:r>
        <w:br/>
      </w:r>
      <w:r>
        <w:rPr>
          <w:rFonts w:ascii="Times New Roman"/>
          <w:b w:val="false"/>
          <w:i w:val="false"/>
          <w:color w:val="000000"/>
          <w:sz w:val="28"/>
        </w:rPr>
        <w:t>
      2) 1 - үдеріс - тұтынушымен электрондық мемлекеттік қызмет алу үшін ЭҮП ЖСН (бар болған жағдайда немесе 2012 жылғы 31 желтоқсанға дейінгі мерзімімен оны алмастыратын СТН және ЖСН ) мен парольді енгізу процесі (авторизациялау процесі);</w:t>
      </w:r>
      <w:r>
        <w:br/>
      </w:r>
      <w:r>
        <w:rPr>
          <w:rFonts w:ascii="Times New Roman"/>
          <w:b w:val="false"/>
          <w:i w:val="false"/>
          <w:color w:val="000000"/>
          <w:sz w:val="28"/>
        </w:rPr>
        <w:t>
      3) 1 - шарт – ЖСН (бар болған жағдайда немесе 2012 жылғы 31 желтоқсанға дейінгі мерзімімен оны алмастыратын СТН және ЖСН )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2 - үдеріс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3 - үдеріс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тұтынушымен ЭСҚ тіркеу куәлігін таңдау;</w:t>
      </w:r>
      <w:r>
        <w:br/>
      </w:r>
      <w:r>
        <w:rPr>
          <w:rFonts w:ascii="Times New Roman"/>
          <w:b w:val="false"/>
          <w:i w:val="false"/>
          <w:color w:val="000000"/>
          <w:sz w:val="28"/>
        </w:rPr>
        <w:t>
      6) 4 - үдеріс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2 -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 және ЭСҚ тіркеу куәлігінде көрсетілген ЖСН)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 үдеріс - тұтынушы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 үдеріс – тұтынушы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 үдеріс – ЖАО қызметкерімен электрондық мемлекеттік қызмет нәтижесін құру (мемлекеттік атаулы әлеуметтік көмекті тағайындау туралы хабарлама немесе мемлекеттік қызмет көрсетуден бас тарту туралы дәлелді жауап). Электрондық құжат ЖАО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үлгісінің экрандық нысаны келтірілген.</w:t>
      </w:r>
      <w:r>
        <w:br/>
      </w:r>
      <w:r>
        <w:rPr>
          <w:rFonts w:ascii="Times New Roman"/>
          <w:b w:val="false"/>
          <w:i w:val="false"/>
          <w:color w:val="000000"/>
          <w:sz w:val="28"/>
        </w:rPr>
        <w:t>
</w:t>
      </w:r>
      <w:r>
        <w:rPr>
          <w:rFonts w:ascii="Times New Roman"/>
          <w:b w:val="false"/>
          <w:i w:val="false"/>
          <w:color w:val="000000"/>
          <w:sz w:val="28"/>
        </w:rPr>
        <w:t>
      9. Алушымен электрондық мемлекеттік қызмет бойынша сұранымның орындалу мәртебесін тексеру әдісі: «электрондық үкімет» порталы «Қызмет алу тарихы» бөлімінде.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5"/>
    <w:bookmarkStart w:name="z16" w:id="6"/>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6"/>
    <w:bookmarkStart w:name="z17" w:id="7"/>
    <w:p>
      <w:pPr>
        <w:spacing w:after="0"/>
        <w:ind w:left="0"/>
        <w:jc w:val="both"/>
      </w:pPr>
      <w:r>
        <w:rPr>
          <w:rFonts w:ascii="Times New Roman"/>
          <w:b w:val="false"/>
          <w:i w:val="false"/>
          <w:color w:val="000000"/>
          <w:sz w:val="28"/>
        </w:rPr>
        <w:t>      11. Мемлекеттік қызмет көрсету процесіне мынадай құрылымдық-функционалдық бірліктер қатысады (бұдан әрі- ҚФЕ):</w:t>
      </w:r>
      <w:r>
        <w:br/>
      </w:r>
      <w:r>
        <w:rPr>
          <w:rFonts w:ascii="Times New Roman"/>
          <w:b w:val="false"/>
          <w:i w:val="false"/>
          <w:color w:val="000000"/>
          <w:sz w:val="28"/>
        </w:rPr>
        <w:t>
      ЖАО қызметкері.</w:t>
      </w:r>
      <w:r>
        <w:br/>
      </w:r>
      <w:r>
        <w:rPr>
          <w:rFonts w:ascii="Times New Roman"/>
          <w:b w:val="false"/>
          <w:i w:val="false"/>
          <w:color w:val="000000"/>
          <w:sz w:val="28"/>
        </w:rPr>
        <w:t>
      12.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мекемелердің құрылымдық бөлімшелерінің, мемлекеттік мекемелер немесе олардың сипаттауына сәйкес басқа ұйымдардың қызметі арасындағы қисынды бірізділігінің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 - 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Тұтынушымен электрондық мемлекеттік қызмет көрсету процесіне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ЖСН (бар болған жағдайда немесе 2012 жылғы 31 желтоқсанға дейінгі мерзімімен оны алмастыратын СТН және ЖСН) болуы, ЭҮП авторизациялау, пайдаланушының ЭСҚ болуы.</w:t>
      </w:r>
    </w:p>
    <w:bookmarkEnd w:id="7"/>
    <w:bookmarkStart w:name="z23" w:id="8"/>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255"/>
        <w:gridCol w:w="3046"/>
        <w:gridCol w:w="3444"/>
        <w:gridCol w:w="22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1.Негізгі процестің іс-әрекеті (жұмыс барысы, ағыны)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мәліметтерді енгізу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w:t>
            </w:r>
            <w:r>
              <w:br/>
            </w:r>
            <w:r>
              <w:rPr>
                <w:rFonts w:ascii="Times New Roman"/>
                <w:b w:val="false"/>
                <w:i w:val="false"/>
                <w:color w:val="000000"/>
                <w:sz w:val="20"/>
              </w:rPr>
              <w:t>
імдік шешім)</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сұранымды тіркеу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250"/>
        <w:gridCol w:w="4419"/>
        <w:gridCol w:w="2456"/>
        <w:gridCol w:w="19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2.Негізгі процестің іс-әрекеті (жұмыс барысы, ағыны)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Мемлекеттік атаулы әлеуметтік көмек тағайындау немесе негізделген бас тарту туралы шешім қабылдау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 немесе негізделген бас тарту туралы хабарландыруды құру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тұтынушы өткiзген кезінен жеті күнтiзбелiк күн ішінде;селолық округ әкіміне тұратын жері бойынша жиырма екі күнтiзбелiк күннен кешіктірмей</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460"/>
        <w:gridCol w:w="4260"/>
        <w:gridCol w:w="2578"/>
        <w:gridCol w:w="1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3.Негізгі процестің іс-әрекеті (жұмыс барысы, ағыны)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меткерінің ЭСҚ шығыс құжатына қол қоюы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нәтижесін қолма - қол немесе тұтынушы электрондық поштасына жіберу арқылы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меткерінің ЭСҚ қол қойылған шығыс құжаты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9"/>
    <w:p>
      <w:pPr>
        <w:spacing w:after="0"/>
        <w:ind w:left="0"/>
        <w:jc w:val="left"/>
      </w:pPr>
      <w:r>
        <w:rPr>
          <w:rFonts w:ascii="Times New Roman"/>
          <w:b/>
          <w:i w:val="false"/>
          <w:color w:val="000000"/>
        </w:rPr>
        <w:t xml:space="preserve"> 
2.кесте. ЭҮП арқылы іс-әрекеттерді сипаттау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694"/>
        <w:gridCol w:w="3206"/>
        <w:gridCol w:w="2078"/>
        <w:gridCol w:w="2099"/>
        <w:gridCol w:w="19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Іс-әрекеттің(процестің, рәсімнің, операцияның) атауы және оның сипаттамасы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сұраным нысанын толтыру. Электрондық мемлекеттік қызмет алу үшін енгізілген мәліметтердің дұрыстығын тексеру.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 сұраным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дұрыстығыжағдайын</w:t>
            </w:r>
            <w:r>
              <w:br/>
            </w:r>
            <w:r>
              <w:rPr>
                <w:rFonts w:ascii="Times New Roman"/>
                <w:b w:val="false"/>
                <w:i w:val="false"/>
                <w:color w:val="000000"/>
                <w:sz w:val="20"/>
              </w:rPr>
              <w:t>
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w:t>
            </w:r>
            <w:r>
              <w:br/>
            </w:r>
            <w:r>
              <w:rPr>
                <w:rFonts w:ascii="Times New Roman"/>
                <w:b w:val="false"/>
                <w:i w:val="false"/>
                <w:color w:val="000000"/>
                <w:sz w:val="20"/>
              </w:rPr>
              <w:t>
да)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w:t>
            </w:r>
            <w:r>
              <w:br/>
            </w:r>
            <w:r>
              <w:rPr>
                <w:rFonts w:ascii="Times New Roman"/>
                <w:b w:val="false"/>
                <w:i w:val="false"/>
                <w:color w:val="000000"/>
                <w:sz w:val="20"/>
              </w:rPr>
              <w:t>
ға қабылдау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w:t>
            </w:r>
            <w:r>
              <w:br/>
            </w:r>
            <w:r>
              <w:rPr>
                <w:rFonts w:ascii="Times New Roman"/>
                <w:b w:val="false"/>
                <w:i w:val="false"/>
                <w:color w:val="000000"/>
                <w:sz w:val="20"/>
              </w:rPr>
              <w:t>
ғы жағ</w:t>
            </w:r>
            <w:r>
              <w:br/>
            </w:r>
            <w:r>
              <w:rPr>
                <w:rFonts w:ascii="Times New Roman"/>
                <w:b w:val="false"/>
                <w:i w:val="false"/>
                <w:color w:val="000000"/>
                <w:sz w:val="20"/>
              </w:rPr>
              <w:t>
дайында)</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дұрыстығыжағдайын</w:t>
            </w:r>
            <w:r>
              <w:br/>
            </w:r>
            <w:r>
              <w:rPr>
                <w:rFonts w:ascii="Times New Roman"/>
                <w:b w:val="false"/>
                <w:i w:val="false"/>
                <w:color w:val="000000"/>
                <w:sz w:val="20"/>
              </w:rPr>
              <w:t>
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хабарламаны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w:t>
            </w:r>
            <w:r>
              <w:br/>
            </w:r>
            <w:r>
              <w:rPr>
                <w:rFonts w:ascii="Times New Roman"/>
                <w:b w:val="false"/>
                <w:i w:val="false"/>
                <w:color w:val="000000"/>
                <w:sz w:val="20"/>
              </w:rPr>
              <w:t>
да)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w:t>
            </w:r>
            <w:r>
              <w:br/>
            </w:r>
            <w:r>
              <w:rPr>
                <w:rFonts w:ascii="Times New Roman"/>
                <w:b w:val="false"/>
                <w:i w:val="false"/>
                <w:color w:val="000000"/>
                <w:sz w:val="20"/>
              </w:rPr>
              <w:t>
ғы жағдайын</w:t>
            </w:r>
            <w:r>
              <w:br/>
            </w:r>
            <w:r>
              <w:rPr>
                <w:rFonts w:ascii="Times New Roman"/>
                <w:b w:val="false"/>
                <w:i w:val="false"/>
                <w:color w:val="000000"/>
                <w:sz w:val="20"/>
              </w:rPr>
              <w:t>
да)</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284"/>
        <w:gridCol w:w="2883"/>
        <w:gridCol w:w="1871"/>
        <w:gridCol w:w="2272"/>
        <w:gridCol w:w="1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2.Негізгі процестің іс-әрекеті (жұмыс барысы, ағыны)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4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Мемлекеттік атаулы әлеуметтік көмек тағайындау немесе негізделген бас тарту туралы шешім қабылдау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«жұмыста» мәртебесін ауыстыру туралы хабарлама жолдау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та» мәртебе</w:t>
            </w:r>
            <w:r>
              <w:br/>
            </w:r>
            <w:r>
              <w:rPr>
                <w:rFonts w:ascii="Times New Roman"/>
                <w:b w:val="false"/>
                <w:i w:val="false"/>
                <w:color w:val="000000"/>
                <w:sz w:val="20"/>
              </w:rPr>
              <w:t>
сін көрсету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құру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 көрсету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тұтынушы өткiзген кезінен жеті күнтiзбелiк күн ішінде;</w:t>
            </w:r>
            <w:r>
              <w:br/>
            </w:r>
            <w:r>
              <w:rPr>
                <w:rFonts w:ascii="Times New Roman"/>
                <w:b w:val="false"/>
                <w:i w:val="false"/>
                <w:color w:val="000000"/>
                <w:sz w:val="20"/>
              </w:rPr>
              <w:t>
Селолық округ әкіміне тұратын жері бойынша жиырма екі күнтiзбелiк күннен кешіктірмей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279"/>
        <w:gridCol w:w="1888"/>
        <w:gridCol w:w="2879"/>
        <w:gridCol w:w="1889"/>
        <w:gridCol w:w="21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w:t>
            </w:r>
          </w:p>
          <w:p>
            <w:pPr>
              <w:spacing w:after="20"/>
              <w:ind w:left="20"/>
              <w:jc w:val="both"/>
            </w:pPr>
            <w:r>
              <w:rPr>
                <w:rFonts w:ascii="Times New Roman"/>
                <w:b w:val="false"/>
                <w:i w:val="false"/>
                <w:color w:val="000000"/>
                <w:sz w:val="20"/>
              </w:rPr>
              <w:t>(процестің, рәсімнің, операцияның) атауы және оның сипаттамасы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 ЭҮП қызмет көрсету мәртебесін ауыстыру туралы хабарлама жасау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 мәртебесіне ауыстыру туралы хабар</w:t>
            </w:r>
            <w:r>
              <w:br/>
            </w:r>
            <w:r>
              <w:rPr>
                <w:rFonts w:ascii="Times New Roman"/>
                <w:b w:val="false"/>
                <w:i w:val="false"/>
                <w:color w:val="000000"/>
                <w:sz w:val="20"/>
              </w:rPr>
              <w:t>
лама жолдау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w:t>
            </w:r>
            <w:r>
              <w:br/>
            </w:r>
            <w:r>
              <w:rPr>
                <w:rFonts w:ascii="Times New Roman"/>
                <w:b w:val="false"/>
                <w:i w:val="false"/>
                <w:color w:val="000000"/>
                <w:sz w:val="20"/>
              </w:rPr>
              <w:t>
гімен қызмет көрсетуді аяқтау туралы хабарлама көрсету.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 w:id="10"/>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Аталмыш кестеде аяқталу нысаны, электрондық мемлекеттік қызмет көрсетудің технологиялық тізбе процесінде орындалу мерзімі мен келесі іс-әрекеттердің нөмірін көрсетумен ЭҮП, АЖ және барлық ҚФБ іс - әрекеттері (функциялар, рәсімдер, операциялар) көрсетілген.</w:t>
      </w:r>
    </w:p>
    <w:bookmarkEnd w:id="10"/>
    <w:bookmarkStart w:name="z26" w:id="11"/>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электрондық мемелекеттік қызмет Регламентіне</w:t>
      </w:r>
      <w:r>
        <w:br/>
      </w:r>
      <w:r>
        <w:rPr>
          <w:rFonts w:ascii="Times New Roman"/>
          <w:b w:val="false"/>
          <w:i w:val="false"/>
          <w:color w:val="000000"/>
          <w:sz w:val="28"/>
        </w:rPr>
        <w:t>
2-қосымша</w:t>
      </w:r>
    </w:p>
    <w:bookmarkEnd w:id="11"/>
    <w:p>
      <w:pPr>
        <w:spacing w:after="0"/>
        <w:ind w:left="0"/>
        <w:jc w:val="both"/>
      </w:pPr>
      <w:r>
        <w:drawing>
          <wp:inline distT="0" distB="0" distL="0" distR="0">
            <wp:extent cx="94361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36100" cy="4432300"/>
                    </a:xfrm>
                    <a:prstGeom prst="rect">
                      <a:avLst/>
                    </a:prstGeom>
                  </pic:spPr>
                </pic:pic>
              </a:graphicData>
            </a:graphic>
          </wp:inline>
        </w:drawing>
      </w:r>
    </w:p>
    <w:bookmarkStart w:name="z27" w:id="12"/>
    <w:p>
      <w:pPr>
        <w:spacing w:after="0"/>
        <w:ind w:left="0"/>
        <w:jc w:val="both"/>
      </w:pPr>
      <w:r>
        <w:rPr>
          <w:rFonts w:ascii="Times New Roman"/>
          <w:b w:val="false"/>
          <w:i w:val="false"/>
          <w:color w:val="000000"/>
          <w:sz w:val="28"/>
        </w:rPr>
        <w:t>
1 сурет. ЖАО АЖ арқылы «жартылай автоматтандырылған» электрондық мемлекеттік қызмет көрсету кезіндегі өзара функционалдық әрекеттесу диаграммасы</w:t>
      </w:r>
    </w:p>
    <w:bookmarkEnd w:id="12"/>
    <w:p>
      <w:pPr>
        <w:spacing w:after="0"/>
        <w:ind w:left="0"/>
        <w:jc w:val="both"/>
      </w:pPr>
      <w:r>
        <w:drawing>
          <wp:inline distT="0" distB="0" distL="0" distR="0">
            <wp:extent cx="98679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67900" cy="4191000"/>
                    </a:xfrm>
                    <a:prstGeom prst="rect">
                      <a:avLst/>
                    </a:prstGeom>
                  </pic:spPr>
                </pic:pic>
              </a:graphicData>
            </a:graphic>
          </wp:inline>
        </w:drawing>
      </w:r>
    </w:p>
    <w:bookmarkStart w:name="z28" w:id="13"/>
    <w:p>
      <w:pPr>
        <w:spacing w:after="0"/>
        <w:ind w:left="0"/>
        <w:jc w:val="both"/>
      </w:pPr>
      <w:r>
        <w:rPr>
          <w:rFonts w:ascii="Times New Roman"/>
          <w:b w:val="false"/>
          <w:i w:val="false"/>
          <w:color w:val="000000"/>
          <w:sz w:val="28"/>
        </w:rPr>
        <w:t>
2 сурет. ЭҮП арқылы «жартылай автоматтандырылған» электрондық мемлекеттік қызмет көрсету кезіндегі өзара функционалдық әрекеттесу диаграммасы</w:t>
      </w:r>
    </w:p>
    <w:bookmarkEnd w:id="13"/>
    <w:p>
      <w:pPr>
        <w:spacing w:after="0"/>
        <w:ind w:left="0"/>
        <w:jc w:val="both"/>
      </w:pPr>
      <w:r>
        <w:rPr>
          <w:rFonts w:ascii="Times New Roman"/>
          <w:b w:val="false"/>
          <w:i w:val="false"/>
          <w:color w:val="000000"/>
          <w:sz w:val="28"/>
        </w:rPr>
        <w:t>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 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52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19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bookmarkStart w:name="z29" w:id="1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w:t>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w:t>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w:t>
      </w:r>
      <w:r>
        <w:rPr>
          <w:rFonts w:ascii="Times New Roman"/>
          <w:b w:val="false"/>
          <w:i w:val="false"/>
          <w:color w:val="000000"/>
          <w:sz w:val="28"/>
        </w:rPr>
        <w:t>
      3. рөлдер: пулдер мен жолдар;</w:t>
      </w:r>
      <w:r>
        <w:br/>
      </w:r>
      <w:r>
        <w:rPr>
          <w:rFonts w:ascii="Times New Roman"/>
          <w:b w:val="false"/>
          <w:i w:val="false"/>
          <w:color w:val="000000"/>
          <w:sz w:val="28"/>
        </w:rPr>
        <w:t>
</w:t>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End w:id="14"/>
    <w:bookmarkStart w:name="z34" w:id="15"/>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(қызмет атауы)</w:t>
      </w:r>
    </w:p>
    <w:bookmarkStart w:name="z35" w:id="16"/>
    <w:p>
      <w:pPr>
        <w:spacing w:after="0"/>
        <w:ind w:left="0"/>
        <w:jc w:val="left"/>
      </w:pPr>
      <w:r>
        <w:rPr>
          <w:rFonts w:ascii="Times New Roman"/>
          <w:b/>
          <w:i w:val="false"/>
          <w:color w:val="000000"/>
        </w:rPr>
        <w:t xml:space="preserve"> 
1. Сіз электрондық мемлекеттік қызмет көрсету үдерісінің сапасы мен нәтижесіне қанағаттанасыз ба?</w:t>
      </w:r>
    </w:p>
    <w:bookmarkEnd w:id="16"/>
    <w:p>
      <w:pPr>
        <w:spacing w:after="0"/>
        <w:ind w:left="0"/>
        <w:jc w:val="both"/>
      </w:pP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p>
    <w:bookmarkEnd w:id="17"/>
    <w:p>
      <w:pPr>
        <w:spacing w:after="0"/>
        <w:ind w:left="0"/>
        <w:jc w:val="both"/>
      </w:pP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7" w:id="18"/>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7048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48500" cy="5930900"/>
                    </a:xfrm>
                    <a:prstGeom prst="rect">
                      <a:avLst/>
                    </a:prstGeom>
                  </pic:spPr>
                </pic:pic>
              </a:graphicData>
            </a:graphic>
          </wp:inline>
        </w:drawing>
      </w:r>
    </w:p>
    <w:p>
      <w:pPr>
        <w:spacing w:after="0"/>
        <w:ind w:left="0"/>
        <w:jc w:val="both"/>
      </w:pPr>
      <w:r>
        <w:rPr>
          <w:rFonts w:ascii="Times New Roman"/>
          <w:b w:val="false"/>
          <w:i w:val="false"/>
          <w:color w:val="000000"/>
          <w:sz w:val="28"/>
        </w:rPr>
        <w:t>Өтінішке 3 данада белгіленген үлгіде № 1-3 қосымшаны қоса беремін.</w:t>
      </w:r>
      <w:r>
        <w:br/>
      </w:r>
      <w:r>
        <w:rPr>
          <w:rFonts w:ascii="Times New Roman"/>
          <w:b w:val="false"/>
          <w:i w:val="false"/>
          <w:color w:val="000000"/>
          <w:sz w:val="28"/>
        </w:rPr>
        <w:t>
Өзгерістер болған жағдай 15 күн ішінде хабарлаймын деп міндеттенемін.</w:t>
      </w:r>
      <w:r>
        <w:br/>
      </w:r>
      <w:r>
        <w:rPr>
          <w:rFonts w:ascii="Times New Roman"/>
          <w:b w:val="false"/>
          <w:i w:val="false"/>
          <w:color w:val="000000"/>
          <w:sz w:val="28"/>
        </w:rPr>
        <w:t>
Жалған ақпарат және күмәнді (жалған) құжат бергені үшін жауапкершілік туралы ескертілді</w:t>
      </w:r>
    </w:p>
    <w:p>
      <w:pPr>
        <w:spacing w:after="0"/>
        <w:ind w:left="0"/>
        <w:jc w:val="both"/>
      </w:pPr>
      <w:r>
        <w:drawing>
          <wp:inline distT="0" distB="0" distL="0" distR="0">
            <wp:extent cx="68961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896100" cy="2730500"/>
                    </a:xfrm>
                    <a:prstGeom prst="rect">
                      <a:avLst/>
                    </a:prstGeom>
                  </pic:spPr>
                </pic:pic>
              </a:graphicData>
            </a:graphic>
          </wp:inline>
        </w:drawing>
      </w:r>
    </w:p>
    <w:p>
      <w:pPr>
        <w:spacing w:after="0"/>
        <w:ind w:left="0"/>
        <w:jc w:val="both"/>
      </w:pPr>
      <w:r>
        <w:drawing>
          <wp:inline distT="0" distB="0" distL="0" distR="0">
            <wp:extent cx="67437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743700" cy="9144000"/>
                    </a:xfrm>
                    <a:prstGeom prst="rect">
                      <a:avLst/>
                    </a:prstGeom>
                  </pic:spPr>
                </pic:pic>
              </a:graphicData>
            </a:graphic>
          </wp:inline>
        </w:drawing>
      </w:r>
    </w:p>
    <w:p>
      <w:pPr>
        <w:spacing w:after="0"/>
        <w:ind w:left="0"/>
        <w:jc w:val="both"/>
      </w:pPr>
      <w:r>
        <w:drawing>
          <wp:inline distT="0" distB="0" distL="0" distR="0">
            <wp:extent cx="6540500" cy="909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540500" cy="9093200"/>
                    </a:xfrm>
                    <a:prstGeom prst="rect">
                      <a:avLst/>
                    </a:prstGeom>
                  </pic:spPr>
                </pic:pic>
              </a:graphicData>
            </a:graphic>
          </wp:inline>
        </w:drawing>
      </w:r>
    </w:p>
    <w:p>
      <w:pPr>
        <w:spacing w:after="0"/>
        <w:ind w:left="0"/>
        <w:jc w:val="both"/>
      </w:pPr>
      <w:r>
        <w:drawing>
          <wp:inline distT="0" distB="0" distL="0" distR="0">
            <wp:extent cx="74422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42200" cy="5092700"/>
                    </a:xfrm>
                    <a:prstGeom prst="rect">
                      <a:avLst/>
                    </a:prstGeom>
                  </pic:spPr>
                </pic:pic>
              </a:graphicData>
            </a:graphic>
          </wp:inline>
        </w:drawing>
      </w:r>
    </w:p>
    <w:p>
      <w:pPr>
        <w:spacing w:after="0"/>
        <w:ind w:left="0"/>
        <w:jc w:val="both"/>
      </w:pPr>
      <w:r>
        <w:drawing>
          <wp:inline distT="0" distB="0" distL="0" distR="0">
            <wp:extent cx="76073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607300" cy="3187700"/>
                    </a:xfrm>
                    <a:prstGeom prst="rect">
                      <a:avLst/>
                    </a:prstGeom>
                  </pic:spPr>
                </pic:pic>
              </a:graphicData>
            </a:graphic>
          </wp:inline>
        </w:drawing>
      </w:r>
    </w:p>
    <w:bookmarkStart w:name="z38" w:id="19"/>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Тұтынушыға ұсынылатын электрондық мемлекеттік қызметке оң жауабының шығыс үлгісі (мемлекеттік атаулы әлеуметтік көмекті тағайындау туралы хабарлама)</w:t>
      </w:r>
    </w:p>
    <w:p>
      <w:pPr>
        <w:spacing w:after="0"/>
        <w:ind w:left="0"/>
        <w:jc w:val="both"/>
      </w:pPr>
      <w:r>
        <w:drawing>
          <wp:inline distT="0" distB="0" distL="0" distR="0">
            <wp:extent cx="57277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727700" cy="8001000"/>
                    </a:xfrm>
                    <a:prstGeom prst="rect">
                      <a:avLst/>
                    </a:prstGeom>
                  </pic:spPr>
                </pic:pic>
              </a:graphicData>
            </a:graphic>
          </wp:inline>
        </w:drawing>
      </w:r>
    </w:p>
    <w:bookmarkStart w:name="z39" w:id="20"/>
    <w:p>
      <w:pPr>
        <w:spacing w:after="0"/>
        <w:ind w:left="0"/>
        <w:jc w:val="left"/>
      </w:pPr>
      <w:r>
        <w:rPr>
          <w:rFonts w:ascii="Times New Roman"/>
          <w:b/>
          <w:i w:val="false"/>
          <w:color w:val="000000"/>
        </w:rPr>
        <w:t xml:space="preserve"> 
Тұтынушыға ұсынылатын хабарламалар</w:t>
      </w:r>
    </w:p>
    <w:bookmarkEnd w:id="20"/>
    <w:p>
      <w:pPr>
        <w:spacing w:after="0"/>
        <w:ind w:left="0"/>
        <w:jc w:val="both"/>
      </w:pPr>
      <w:r>
        <w:rPr>
          <w:rFonts w:ascii="Times New Roman"/>
          <w:b w:val="false"/>
          <w:i w:val="false"/>
          <w:color w:val="000000"/>
          <w:sz w:val="28"/>
        </w:rPr>
        <w:t>Хабарламалар өтінішті орындау мәртебесінің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bookmarkStart w:name="z40" w:id="21"/>
    <w:p>
      <w:pPr>
        <w:spacing w:after="0"/>
        <w:ind w:left="0"/>
        <w:jc w:val="left"/>
      </w:pPr>
      <w:r>
        <w:rPr>
          <w:rFonts w:ascii="Times New Roman"/>
          <w:b/>
          <w:i w:val="false"/>
          <w:color w:val="000000"/>
        </w:rPr>
        <w:t xml:space="preserve"> 
Тұтынушыға ұсынылатын электрондық мемлекеттік қызметке теріс жауаптың (бас тарту) шығыс үлгісі</w:t>
      </w:r>
    </w:p>
    <w:bookmarkEnd w:id="21"/>
    <w:p>
      <w:pPr>
        <w:spacing w:after="0"/>
        <w:ind w:left="0"/>
        <w:jc w:val="both"/>
      </w:pPr>
      <w:r>
        <w:rPr>
          <w:rFonts w:ascii="Times New Roman"/>
          <w:b w:val="false"/>
          <w:i w:val="false"/>
          <w:color w:val="000000"/>
          <w:sz w:val="28"/>
        </w:rPr>
        <w:t>Теріс жауаптың шығыс нысаны комиссия қорытындысын құруда бас тартуды негіздеу мәтінімен хат түрінде еркін нысанда ұсынылады.</w:t>
      </w:r>
    </w:p>
    <w:p>
      <w:pPr>
        <w:spacing w:after="0"/>
        <w:ind w:left="0"/>
        <w:jc w:val="both"/>
      </w:pPr>
      <w:r>
        <w:drawing>
          <wp:inline distT="0" distB="0" distL="0" distR="0">
            <wp:extent cx="56134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613400" cy="675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