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ce0d" w14:textId="f14c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26 желтоқсандағы N 385 қаулысы. Солтүстік Қазақстан облысының Әділет департаментінде 2013 жылғы 1 ақпанда N 2143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4-тармағына, Қазақстан Республикасы Үкіметінің 2012 жылғы 31 тамыздағы № 1128 қаулысымен бекітілген «Қазақстан Республикасының аумағында жылжымайтын мүлік объектілерінің мекенжайын анықтау жөнінде анықтама беру», «Сәулет-жоспарлау тапсырмасын беру» мемлекеттік қызмет стандарттарына сәйкес Солтүстік Қазақстан облысы Тимирязев ауданының әкiмдiгi ҚАУЛЫ ЕТЕДI:</w:t>
      </w:r>
      <w:r>
        <w:br/>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Республикасының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Тимирязев ауданы әкімінің орынбасары А.Т. Ысқақовқа жүктелсін.</w:t>
      </w:r>
      <w:r>
        <w:br/>
      </w:r>
      <w:r>
        <w:rPr>
          <w:rFonts w:ascii="Times New Roman"/>
          <w:b w:val="false"/>
          <w:i w:val="false"/>
          <w:color w:val="000000"/>
          <w:sz w:val="28"/>
        </w:rPr>
        <w:t>
      3. Осы қаулы алғаш ресми жарияланған күннен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Қ. Қасенов</w:t>
      </w:r>
    </w:p>
    <w:bookmarkEnd w:id="1"/>
    <w:bookmarkStart w:name="z3" w:id="2"/>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26 желтоқсандағы № 385</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Тимирязев ауданының құрылыс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Тимирязев ауданының құрылыс бөлімі» мемлекеттік мекемесімен (бұдан әрі – уәкілетті орган),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Тимирязев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w:t>
      </w:r>
      <w:r>
        <w:rPr>
          <w:rFonts w:ascii="Times New Roman"/>
          <w:b w:val="false"/>
          <w:i w:val="false"/>
          <w:color w:val="000000"/>
          <w:sz w:val="28"/>
        </w:rPr>
        <w:t>№ 1036</w:t>
      </w:r>
      <w:r>
        <w:rPr>
          <w:rFonts w:ascii="Times New Roman"/>
          <w:b w:val="false"/>
          <w:i w:val="false"/>
          <w:color w:val="000000"/>
          <w:sz w:val="28"/>
        </w:rPr>
        <w:t xml:space="preserve"> қаулысына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 1128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www.tm.sko.kz интернет – 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5.Мемлекеттік қызмет көрсететін лауазымдық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14"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3331"/>
        <w:gridCol w:w="3735"/>
        <w:gridCol w:w="3647"/>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құрылыс бөлімі» мемлекеттік мекемесі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151100, Солтүстік Қазақстан облысы, Тимирязев ауданы, Тимирязев селосы, </w:t>
            </w:r>
            <w:r>
              <w:br/>
            </w:r>
            <w:r>
              <w:rPr>
                <w:rFonts w:ascii="Times New Roman"/>
                <w:b w:val="false"/>
                <w:i w:val="false"/>
                <w:color w:val="000000"/>
                <w:sz w:val="20"/>
              </w:rPr>
              <w:t>
Уәлиханов көшесі, 1 үй</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9.00-дан 18.00 –ге дейін, түскі үзіліс 13.00-14.00, демалыс – сенбі және жексенбі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8(71537)2-15-48</w:t>
            </w:r>
            <w:r>
              <w:br/>
            </w:r>
            <w:r>
              <w:rPr>
                <w:rFonts w:ascii="Times New Roman"/>
                <w:b w:val="false"/>
                <w:i w:val="false"/>
                <w:color w:val="000000"/>
                <w:sz w:val="20"/>
              </w:rPr>
              <w:t>
www.tm.sko.kz</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18" w:id="17"/>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910"/>
        <w:gridCol w:w="3017"/>
        <w:gridCol w:w="2757"/>
        <w:gridCol w:w="360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Тимирязев ауданының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Тимирязев ауданы, Тимирязев селосы, Уәлиханов көшесі, 17 үй</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түскі үзіліссіз сағат 9.00-ден 19.00-ге дейін, демалыс – жексенбі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2-03-03</w:t>
            </w:r>
            <w:r>
              <w:br/>
            </w:r>
            <w:r>
              <w:rPr>
                <w:rFonts w:ascii="Times New Roman"/>
                <w:b w:val="false"/>
                <w:i w:val="false"/>
                <w:color w:val="000000"/>
                <w:sz w:val="20"/>
              </w:rPr>
              <w:t xml:space="preserve">
Con_timiryazevo@mail.ru </w:t>
            </w:r>
          </w:p>
        </w:tc>
      </w:tr>
    </w:tbl>
    <w:bookmarkStart w:name="z19" w:id="18"/>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8"/>
    <w:bookmarkStart w:name="z20" w:id="1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19"/>
    <w:bookmarkStart w:name="z21" w:id="20"/>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0"/>
    <w:bookmarkStart w:name="z22" w:id="2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3"/>
    <w:bookmarkStart w:name="z25" w:id="24"/>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4"/>
    <w:bookmarkStart w:name="z26" w:id="25"/>
    <w:p>
      <w:pPr>
        <w:spacing w:after="0"/>
        <w:ind w:left="0"/>
        <w:jc w:val="both"/>
      </w:pPr>
      <w:r>
        <w:rPr>
          <w:rFonts w:ascii="Times New Roman"/>
          <w:b w:val="false"/>
          <w:i w:val="false"/>
          <w:color w:val="000000"/>
          <w:sz w:val="28"/>
        </w:rPr>
        <w:t>
МЕКЕНЖАЙ ТІРКЕЛІМІ АЖ / ИС АДРЕСНЫЙ РЕГИСТР</w:t>
      </w:r>
    </w:p>
    <w:bookmarkEnd w:id="25"/>
    <w:bookmarkStart w:name="z27" w:id="26"/>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8"/>
    <w:bookmarkStart w:name="z30" w:id="29"/>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29"/>
    <w:bookmarkStart w:name="z31" w:id="30"/>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1"/>
    <w:bookmarkStart w:name="z33" w:id="32"/>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2"/>
    <w:bookmarkStart w:name="z34" w:id="33"/>
    <w:p>
      <w:pPr>
        <w:spacing w:after="0"/>
        <w:ind w:left="0"/>
        <w:jc w:val="both"/>
      </w:pPr>
      <w:r>
        <w:rPr>
          <w:rFonts w:ascii="Times New Roman"/>
          <w:b w:val="false"/>
          <w:i w:val="false"/>
          <w:color w:val="000000"/>
          <w:sz w:val="28"/>
        </w:rPr>
        <w:t>
МЕКЕНЖАЙ ТІРКЕЛІМІ АЖ / ИС АДРЕСНЫЙ РЕГИСТР</w:t>
      </w:r>
    </w:p>
    <w:bookmarkEnd w:id="33"/>
    <w:bookmarkStart w:name="z35" w:id="3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5"/>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5"/>
    <w:bookmarkStart w:name="z37" w:id="36"/>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8" w:id="37"/>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8"/>
    <w:p>
      <w:pPr>
        <w:spacing w:after="0"/>
        <w:ind w:left="0"/>
        <w:jc w:val="left"/>
      </w:pPr>
      <w:r>
        <w:rPr>
          <w:rFonts w:ascii="Times New Roman"/>
          <w:b/>
          <w:i w:val="false"/>
          <w:color w:val="000000"/>
        </w:rPr>
        <w:t xml:space="preserve"> 
Пайдалану нұсқалары. Негізгі процесс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9"/>
    <w:p>
      <w:pPr>
        <w:spacing w:after="0"/>
        <w:ind w:left="0"/>
        <w:jc w:val="left"/>
      </w:pPr>
      <w:r>
        <w:rPr>
          <w:rFonts w:ascii="Times New Roman"/>
          <w:b/>
          <w:i w:val="false"/>
          <w:color w:val="000000"/>
        </w:rPr>
        <w:t xml:space="preserve"> 
Пайдалану нұсқалары. Баламалы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0"/>
    <w:p>
      <w:pPr>
        <w:spacing w:after="0"/>
        <w:ind w:left="0"/>
        <w:jc w:val="both"/>
      </w:pP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1"/>
    <w:bookmarkStart w:name="z43" w:id="4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2"/>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95200" cy="6324600"/>
                    </a:xfrm>
                    <a:prstGeom prst="rect">
                      <a:avLst/>
                    </a:prstGeom>
                  </pic:spPr>
                </pic:pic>
              </a:graphicData>
            </a:graphic>
          </wp:inline>
        </w:drawing>
      </w:r>
    </w:p>
    <w:bookmarkStart w:name="z44" w:id="43"/>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26 желтоқсандағы № 385</w:t>
      </w:r>
      <w:r>
        <w:br/>
      </w:r>
      <w:r>
        <w:rPr>
          <w:rFonts w:ascii="Times New Roman"/>
          <w:b w:val="false"/>
          <w:i w:val="false"/>
          <w:color w:val="000000"/>
          <w:sz w:val="28"/>
        </w:rPr>
        <w:t>
қаулысымен бекітілді</w:t>
      </w:r>
    </w:p>
    <w:bookmarkEnd w:id="43"/>
    <w:bookmarkStart w:name="z45" w:id="44"/>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44"/>
    <w:bookmarkStart w:name="z46" w:id="45"/>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Тимирязев ауданының құрылыс бөлімі» мемлекеттік мекемесі.</w:t>
      </w:r>
    </w:p>
    <w:bookmarkEnd w:id="45"/>
    <w:bookmarkStart w:name="z47" w:id="46"/>
    <w:p>
      <w:pPr>
        <w:spacing w:after="0"/>
        <w:ind w:left="0"/>
        <w:jc w:val="left"/>
      </w:pPr>
      <w:r>
        <w:rPr>
          <w:rFonts w:ascii="Times New Roman"/>
          <w:b/>
          <w:i w:val="false"/>
          <w:color w:val="000000"/>
        </w:rPr>
        <w:t xml:space="preserve"> 
2. Жалпы ережелер</w:t>
      </w:r>
    </w:p>
    <w:bookmarkEnd w:id="46"/>
    <w:bookmarkStart w:name="z48" w:id="47"/>
    <w:p>
      <w:pPr>
        <w:spacing w:after="0"/>
        <w:ind w:left="0"/>
        <w:jc w:val="both"/>
      </w:pPr>
      <w:r>
        <w:rPr>
          <w:rFonts w:ascii="Times New Roman"/>
          <w:b w:val="false"/>
          <w:i w:val="false"/>
          <w:color w:val="000000"/>
          <w:sz w:val="28"/>
        </w:rPr>
        <w:t>
      2. «Сәулет-жоспарлау тапсырмасын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Тимирязев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Тимирязев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 1036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www.tm.sko.kz интернет – 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47"/>
    <w:bookmarkStart w:name="z49" w:id="4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8"/>
    <w:bookmarkStart w:name="z50" w:id="49"/>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кәсіпорындары,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кеңсе арқылы, олардың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2) орталықтарда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49"/>
    <w:bookmarkStart w:name="z51" w:id="50"/>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50"/>
    <w:bookmarkStart w:name="z52" w:id="51"/>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1"/>
    <w:bookmarkStart w:name="z53" w:id="52"/>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2"/>
    <w:bookmarkStart w:name="z54" w:id="53"/>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3"/>
    <w:bookmarkStart w:name="z55" w:id="54"/>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4"/>
    <w:bookmarkStart w:name="z56" w:id="55"/>
    <w:p>
      <w:pPr>
        <w:spacing w:after="0"/>
        <w:ind w:left="0"/>
        <w:jc w:val="left"/>
      </w:pPr>
      <w:r>
        <w:rPr>
          <w:rFonts w:ascii="Times New Roman"/>
          <w:b/>
          <w:i w:val="false"/>
          <w:color w:val="000000"/>
        </w:rPr>
        <w:t xml:space="preserve"> 
Мемлекеттік қызмет көрсету бойынша уәкілетті орган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3511"/>
        <w:gridCol w:w="4806"/>
        <w:gridCol w:w="2195"/>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мекенжайы және электрондық пошта мекенжай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құрылыс бөлімі» мемлекеттік мекемесі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151100, Солтүстік Қазақстан облысы, Тимирязев ауданы, Тимирязев селосы, </w:t>
            </w:r>
            <w:r>
              <w:br/>
            </w:r>
            <w:r>
              <w:rPr>
                <w:rFonts w:ascii="Times New Roman"/>
                <w:b w:val="false"/>
                <w:i w:val="false"/>
                <w:color w:val="000000"/>
                <w:sz w:val="20"/>
              </w:rPr>
              <w:t>
Уәлиханов көшесі, 1 үй</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9.00-дан 18.00 –ге дейін, түскі үзіліс 13.00-14.00, демалыс – сенбі және жексенбі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8(71537)2-15-48</w:t>
            </w:r>
            <w:r>
              <w:br/>
            </w:r>
            <w:r>
              <w:rPr>
                <w:rFonts w:ascii="Times New Roman"/>
                <w:b w:val="false"/>
                <w:i w:val="false"/>
                <w:color w:val="000000"/>
                <w:sz w:val="20"/>
              </w:rPr>
              <w:t>
www.tm.sko.kz</w:t>
            </w:r>
          </w:p>
        </w:tc>
      </w:tr>
    </w:tbl>
    <w:bookmarkStart w:name="z57" w:id="56"/>
    <w:p>
      <w:pPr>
        <w:spacing w:after="0"/>
        <w:ind w:left="0"/>
        <w:jc w:val="both"/>
      </w:pP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7"/>
    <w:bookmarkStart w:name="z59" w:id="58"/>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3300"/>
        <w:gridCol w:w="3194"/>
        <w:gridCol w:w="2431"/>
        <w:gridCol w:w="4023"/>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Тимирязев ауданының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Тимирязев ауданы, Тимирязев селосы, Уәлиханов көшесі, 17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түскі үзіліссіз сағат 9.00-ден 19.00-ге дейін, демалыс – жексенбі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2-03-03</w:t>
            </w:r>
            <w:r>
              <w:br/>
            </w:r>
            <w:r>
              <w:rPr>
                <w:rFonts w:ascii="Times New Roman"/>
                <w:b w:val="false"/>
                <w:i w:val="false"/>
                <w:color w:val="000000"/>
                <w:sz w:val="20"/>
              </w:rPr>
              <w:t xml:space="preserve">
Con_timiryazevo@mail.ru </w:t>
            </w:r>
          </w:p>
        </w:tc>
      </w:tr>
    </w:tbl>
    <w:bookmarkStart w:name="z60" w:id="5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9"/>
    <w:bookmarkStart w:name="z61" w:id="6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60"/>
    <w:bookmarkStart w:name="z62" w:id="6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62"/>
    <w:bookmarkStart w:name="z64" w:id="63"/>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63"/>
    <w:bookmarkStart w:name="z65" w:id="64"/>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64"/>
    <w:bookmarkStart w:name="z66" w:id="65"/>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65"/>
    <w:bookmarkStart w:name="z67" w:id="66"/>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68" w:id="67"/>
    <w:p>
      <w:pPr>
        <w:spacing w:after="0"/>
        <w:ind w:left="0"/>
        <w:jc w:val="left"/>
      </w:pPr>
      <w:r>
        <w:rPr>
          <w:rFonts w:ascii="Times New Roman"/>
          <w:b/>
          <w:i w:val="false"/>
          <w:color w:val="000000"/>
        </w:rPr>
        <w:t xml:space="preserve"> 
ЕСКЕРТПЕ:</w:t>
      </w:r>
    </w:p>
    <w:bookmarkEnd w:id="67"/>
    <w:bookmarkStart w:name="z69" w:id="68"/>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70" w:id="6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9"/>
    <w:bookmarkStart w:name="z71" w:id="70"/>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2"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72"/>
    <w:p>
      <w:pPr>
        <w:spacing w:after="0"/>
        <w:ind w:left="0"/>
        <w:jc w:val="left"/>
      </w:pPr>
      <w:r>
        <w:rPr>
          <w:rFonts w:ascii="Times New Roman"/>
          <w:b/>
          <w:i w:val="false"/>
          <w:color w:val="000000"/>
        </w:rPr>
        <w:t xml:space="preserve"> 
2-кесте. Пайдалану нұсқалары. Негізгі процесс</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both"/>
      </w:pPr>
      <w:r>
        <w:rPr>
          <w:rFonts w:ascii="Times New Roman"/>
          <w:b w:val="false"/>
          <w:i w:val="false"/>
          <w:color w:val="000000"/>
          <w:sz w:val="28"/>
        </w:rPr>
        <w:t>
 </w:t>
      </w:r>
    </w:p>
    <w:bookmarkEnd w:id="73"/>
    <w:bookmarkStart w:name="z75" w:id="74"/>
    <w:p>
      <w:pPr>
        <w:spacing w:after="0"/>
        <w:ind w:left="0"/>
        <w:jc w:val="left"/>
      </w:pPr>
      <w:r>
        <w:rPr>
          <w:rFonts w:ascii="Times New Roman"/>
          <w:b/>
          <w:i w:val="false"/>
          <w:color w:val="000000"/>
        </w:rPr>
        <w:t xml:space="preserve"> 
3-кесте. Пайдалану нұсқалары. Баламалы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5"/>
    <w:bookmarkStart w:name="z77" w:id="7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76"/>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90300" cy="623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