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1dff" w14:textId="9b11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мекендерге жұмыс істеуге және тұруға келген денсаулық сақтау, білім беру, әлеуметтік қамсыздандыру, мәдениет, спорт және ветеринария мамандарына көтерме жәрдемақы және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2012 жылғы 27 шілдедегі № 53-V шешімі. Атырау облысының Әділет департаментінде 2012 жылғы 2 тамызда № 4-4-202 тіркелді. Күші жойылды - Исатай аудандық мәслихатының 2013 жылғы 19 сәуірдегі № 106-V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мәслихатының 2013.04.19 № 106-V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және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2012 жылғы 26 шілдедегі № 142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мекендерге жұмыс істеуге және тұруға келген денсаулық сақтау, білім беру, әлеуметтік қамсыздандыру, мәдениет, спорт және ветеринария мамандарына келесі әлеуметтік қолдау шаралары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алу немесе салу үшін әлеуметтік қолдау – бір мың бес жүз еселік айлық есептік көрсеткіштен аспайтын сомада бюджеттік кредит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халықты әлеуметтік, құқықтық қорғау, заңдылық, денсаулық сақтау, білім, мәдениет, жастар ісі және депутаттық этика жөніндегі тұрақты комиссиясына (К. Нұрманова)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2011 жылғы 16 тамыздағы № 274-ІV "Ауылдық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4-4-186 санымен тіркелген, аудандық "Нарын таңы" газетінің 2011 жылғы 8 қыркүйекте № 37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 төрағасының міндетін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