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2269" w14:textId="5fc2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2012 жылғы 11 сәуірдегі № 65 қаулысы. Атырау облысының Әділет департаментінде 2012 жылғы 20 сәуірде № 4-5-160 тіркелді. Күші жойылды - Қызылқоға ауданы әкімдігінің 2013 жылғы 05 ақпандағы № 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Қызылқоға ауданы әкімдігінің 2013.02. 05 № 24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2011 жылғы 15 желтоқсандағы № ХХXІV-2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 жылдарында тылдағы қажырлы еңбегі үшін бұрынғы Кеңестік Социалистік Республикалар Одағының ордендерімен және медальдарімен наградталған аудан азаматтарына, ай сайын 2000 (екі мың) теңге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"Қызылқоға аудандық жұмыспен қамту және әлеуметтік бағдарламалар бөлімі" мемлекеттік мекемесі әлеуметтік көмекті уақытылы төлеуді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2012 жылдың 4 қаңтарынан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C. Рысқалиев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