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9b46" w14:textId="5fb9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"аппараты" мемлекеттік мекемесінің 2012 жылғы 24 мамырдағы № 131 қаулысы. Атырау облысының Әділет департаментінде 2012 жылғы 11 маусымда № 4-7-147 тіркелді. Күші жойылды - "Мақат ауданы әкімінің Аппараты" мемлекеттік мекемесінің 2013 жылғы 04 ақпандағы № 45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"Мақат ауданы әкімінің Аппараты" мемлекеттік мекемесінің 2013.02.04 № 45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13 желтоқсандағы Мақат аудандық мәслихаты сессиясының "2012-2014 жылдарға арналған аудандық бюджет туралы" № 328-IV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жаттығу жиындарына шақырылып, ұрыс қимылдары жүріп жатқан кезде Ауғанстанға жіберілген әскери міндеттілерге;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көмекті көрсету және төлеу бойынша уәкілетті органы болып "Мақат аудандық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П.М.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1 қаңтарынан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Барақатов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