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0b8af" w14:textId="7e0b8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Ай сайынғы материалдық көмек көрсету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ауданы әкімдігінің 2012 жылғы 29 мамырдағы № 185  қаулысы. Атырау облысы Әділет департаментінде 2012 жылғы 12 маусымда № 4-8-228 тіркелді. Күші жойылды - Құрманғазы ауданы әкімдігінің 2013 жылғы 19 ақпандағы № 103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- Құрманғазы ауданы әкімдігінің 2013.02.19 № 103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1995 жылғы 28 сәуірдегі "Ұлы Отан соғысының қатысушылары мен мүгедектерiне және соларға теңестiрiлген адамдарға берiлетiн жеңiлдiктер мен оларды әлеуметтiк қорғау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20 бабына </w:t>
      </w:r>
      <w:r>
        <w:rPr>
          <w:rFonts w:ascii="Times New Roman"/>
          <w:b w:val="false"/>
          <w:i w:val="false"/>
          <w:color w:val="000000"/>
          <w:sz w:val="28"/>
        </w:rPr>
        <w:t>және аудандық мәслихаттың 2011 жылғы 14 желтоқсандағы № 452-ХХХХIV "Ауданның 2012-2014 жылдарға арналған бюджеті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Келесі санаттағы азаматтарға 3158 (үш мың бір жүз елу сегіз) теңге мөлшерінде ай сайынғы материалдық көмек көрсетілсін: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Ұлы Отан соғысының қатысушылары мен мүгедектеріне;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Ұлы Отан соғысында қаза тапқан әскери қызметшілердің қайталап некеге отырмаған зайыптарына (жұбайларына).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жаттығу жиындарына шақырылып, ұрыс қимылдары жүрiп жатқан кезде Ауғанстанға жiберiлген әскери мiндеттiлерге;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Ауғанстандағы ұрыс қимылдары кезеңінде жараланудың, контузия алудың, зақымданудың немесе ауруға шалдығудың салдарынан қаза тапқан (хабар-ошарсыз кеткен) немесе қайтыс болған әскери қызметшілердің отбасыларына.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  А. Муфтахқа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еніп,алғаш ресми жарияланғаннан кейін күнтізбелік он күн өткен соң қолданысқа енгізіледі және 2012 жылдың 1 қаңтарынан бастап туындаған қатынастарға таралады.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А. Такешев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