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2c2c" w14:textId="0d12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2012 жылғы 4 сәуірдегі № 143 "Зеленов ауданы бойынша 2012 жылға жастар практикасын ұйымдастыру және қаржыландыру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2012 жылғы 22 маусымдағы № 295 қаулысы. Батыс Қазақстан облысы Әділет департаментінде 2012 жылғы 29 маусымда № 7-7-147 тіркелді. Күші жойылды - Батыс Қазақстан облысы Зеленов ауданы әкімдігінің 2013 жылғы 4 қаңтардағы № 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04.01.2013 № 50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әкімдігінің "Зеленов ауданы бойынша 2012 жылға жастар практикасын ұйымдастыру және қаржыландыру туралы" 2012 жылғы 4 сәуірдегі № 143 (Нормативтік құқықтық актілерді мемлекеттік тіркеу тізілімінде № 7-7-140 тіркелген, 2012 жылдың 5 мамырында, 2012 жылдың 19 мамырында "Ауыл тынысы" газетінде № 18, № 20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 М. Құлжановаға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Унгарбеков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