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fcec" w14:textId="eaaf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2012 жылғы 16 наурыздағы № 53 қаулысы. Батыс Қазақстан облысы Әділет департаментінде 2012 жылғы 25 сәуірде № 7-13-151 тіркелді. Күші жойылды - Батыс Қазақстан облысы Шыңғырлау ауданы әкімдігінің 2016 жылғы 24 қарашадағы № 175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 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қантардағы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қантардағы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"Қазақстан Республикасындағы мүгедектерді әлеуметтік қорғау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мүгедектерді жұмыспен қамту және әлеуметтік қорғау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проценті мөлшерiнде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"Шыңғырлау ауданының жұмыспен қамту және әлеуметтік бағдарламалар бөлімі" мемлекеттік мекемесі квотаға сәйкес жұмыс орындарына жұмысқа орналастыру үшін мүгедектерді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Қ. 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