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b266" w14:textId="660b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2012 жылғы 20 желтоқсандағы № С-11/3
"2013-2015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2013 жылғы 5 наурыздағы № С-14/3 шешімі. Ақмола облысының Әділет департаментінде 2013 жылғы 27 наурызда № 3690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"2013–2015 жылдарға арналған аудандық бюджет туралы" 2012 жылғы 20 желтоқсандағы № С-11/3 (нормативтік құқықтық актілерді мемлекеттік тіркеудің Тізілімінде № 3576 тіркелген, 2013 жылдың 11 қаңтарында "Жаңа дәуір" газетінде және 2013 жылдың 12 қаңтарында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1, 2 және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2 161 755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532 770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3 771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1 600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1 623 614 мың теңге;</w:t>
      </w:r>
      <w:r>
        <w:br/>
      </w:r>
      <w:r>
        <w:rPr>
          <w:rFonts w:ascii="Times New Roman"/>
          <w:b w:val="false"/>
          <w:i w:val="false"/>
          <w:color w:val="000000"/>
          <w:sz w:val="28"/>
        </w:rPr>
        <w:t>
</w:t>
      </w:r>
      <w:r>
        <w:rPr>
          <w:rFonts w:ascii="Times New Roman"/>
          <w:b w:val="false"/>
          <w:i w:val="false"/>
          <w:color w:val="000000"/>
          <w:sz w:val="28"/>
        </w:rPr>
        <w:t>
      2) шығындар – 2 169 783,4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несиелер – 4 690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5193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503 мың теңге;</w:t>
      </w:r>
      <w:r>
        <w:br/>
      </w:r>
      <w:r>
        <w:rPr>
          <w:rFonts w:ascii="Times New Roman"/>
          <w:b w:val="false"/>
          <w:i w:val="false"/>
          <w:color w:val="000000"/>
          <w:sz w:val="28"/>
        </w:rPr>
        <w:t>
</w:t>
      </w:r>
      <w:r>
        <w:rPr>
          <w:rFonts w:ascii="Times New Roman"/>
          <w:b w:val="false"/>
          <w:i w:val="false"/>
          <w:color w:val="000000"/>
          <w:sz w:val="28"/>
        </w:rPr>
        <w:t>
      4) қаржы активтерінің операциялары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-12 718,4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12 718,4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16-1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"16-1. 2013 жылға арналған аудандық бюджетте облыстық бюджеттен ағымдағы нысаналы трансферттердің қарастырылғаны ескерілсін, 7460 мың теңге – аудандық маңызы бар қалалардың, ауылдық (селолық) округтердің, ауылдардың (селолардың), кенттердің әкімдерін сайлауын өткізуіне.";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16-2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"16-2. 2013 жылға арналған аудандық бюджетте 2013 жылдың 1 қаңтарына жинақталған 8028,4 мың теңге сомасындағы бюджеттік қаражаттардың бос қалдықтары заңмен белгіленген тәртіппен пайдаланылатыны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"18. Ауданның жергілікті атқарушы органның 2013 жылға арналған резерві 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айтылған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А.Әмрин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26"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С-14/3 шешіміне       </w:t>
      </w:r>
      <w:r>
        <w:br/>
      </w:r>
      <w:r>
        <w:rPr>
          <w:rFonts w:ascii="Times New Roman"/>
          <w:b w:val="false"/>
          <w:i w:val="false"/>
          <w:color w:val="000000"/>
          <w:sz w:val="28"/>
        </w:rPr>
        <w:t xml:space="preserve">
1 қосымша           </w:t>
      </w:r>
    </w:p>
    <w:bookmarkEnd w:id="1"/>
    <w:bookmarkStart w:name="z27"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83"/>
        <w:gridCol w:w="483"/>
        <w:gridCol w:w="505"/>
        <w:gridCol w:w="9581"/>
        <w:gridCol w:w="212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2161755</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532770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218190</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181846</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181160</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6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9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8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8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9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26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4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11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 үшiн 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1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0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3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1623614</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1623614</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219809</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262498</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37"/>
        <w:gridCol w:w="538"/>
        <w:gridCol w:w="538"/>
        <w:gridCol w:w="9536"/>
        <w:gridCol w:w="211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2169783,4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233675,0</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214097</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63341</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58351</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137330</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133056</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12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1364933</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30277</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1099379</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1099379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1080724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46811</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оқылатын мүгедек балаларды жабдықпен, бағдарламалық қамтыммен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124623</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124623</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55688</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40333</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40333</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12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197178</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18464</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162010</w:t>
            </w:r>
          </w:p>
        </w:tc>
      </w:tr>
      <w:tr>
        <w:trPr>
          <w:trHeight w:val="8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8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139875</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139875</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116971</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44363</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42863</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42863</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24358</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r>
      <w:tr>
        <w:trPr>
          <w:trHeight w:val="8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10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63127</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30613</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30613</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8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64162</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w:t>
            </w:r>
          </w:p>
        </w:tc>
      </w:tr>
      <w:tr>
        <w:trPr>
          <w:trHeight w:val="9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8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нысаналы трансферттерді қайтару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-12718,4</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8028,4</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8028,4</w:t>
            </w:r>
          </w:p>
        </w:tc>
      </w:tr>
    </w:tbl>
    <w:bookmarkStart w:name="z28"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С-14/3 шешіміне        </w:t>
      </w:r>
      <w:r>
        <w:br/>
      </w:r>
      <w:r>
        <w:rPr>
          <w:rFonts w:ascii="Times New Roman"/>
          <w:b w:val="false"/>
          <w:i w:val="false"/>
          <w:color w:val="000000"/>
          <w:sz w:val="28"/>
        </w:rPr>
        <w:t xml:space="preserve">
2 қосымша            </w:t>
      </w:r>
    </w:p>
    <w:bookmarkEnd w:id="3"/>
    <w:bookmarkStart w:name="z29" w:id="4"/>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аппараты бағдарламалары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77"/>
        <w:gridCol w:w="535"/>
        <w:gridCol w:w="535"/>
        <w:gridCol w:w="9412"/>
        <w:gridCol w:w="212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159693,0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137330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137330</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137330</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133056,0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2775"/>
        <w:gridCol w:w="2754"/>
        <w:gridCol w:w="3243"/>
        <w:gridCol w:w="254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аймақтар бойынша</w:t>
            </w:r>
          </w:p>
        </w:tc>
      </w:tr>
      <w:tr>
        <w:trPr>
          <w:trHeight w:val="25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3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30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8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30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30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15"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3040"/>
        <w:gridCol w:w="3128"/>
        <w:gridCol w:w="2470"/>
        <w:gridCol w:w="262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7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5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7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8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15"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933"/>
        <w:gridCol w:w="3124"/>
        <w:gridCol w:w="2507"/>
        <w:gridCol w:w="265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Кенащы ауылдық округі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30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28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30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30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8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