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e811" w14:textId="383e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аумағында көшпелі сауданы жүзеге асыру үшін арнайы бөлінген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әкімдігінің 2013 жылғы 21 қаңтардағы N 1-63 қаулысы, Алматы облысының Әділет департаментінде 2013 жылы 28 ақпанда N 2307 болып тіркелді. Күші жойылды - Жетісу облысы Талдықорған қаласы әкімдігінің 2023 жылғы 19 қазандағы № 784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Талдықорған қаласы әкімдігінің 19.10.2023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 "Ішкі сауда ережесін бекіту туралы" қаулысын сәйкес, Талдықорған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аумағында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Қайнарбеков Талғат Қанатовичке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"Талдықорған қаласы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санитарлық-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эпидемиологиялық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мекемесінің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Ғалия Қалмұратқызы Шәріпова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Бақытберген Нұрақымұлы Бейсебаев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төтенше жағдайлар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 Тыныштықұлы Қиялбеков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сауданы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арнайы бөлінген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туралы" N 1-63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 аумағында көшпелі сауданы жүзеге асыру үшін</w:t>
      </w:r>
      <w:r>
        <w:br/>
      </w:r>
      <w:r>
        <w:rPr>
          <w:rFonts w:ascii="Times New Roman"/>
          <w:b/>
          <w:i w:val="false"/>
          <w:color w:val="000000"/>
        </w:rPr>
        <w:t>арнайы бөлінген орындары: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"Жетісу" шағын ауданында, N 4 және N 5 үйлерінің аралығы;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"Жетісу" шағын ауданында, N 33 үйінің жанында;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"Самал" шағын ауданында, N 8 және N 42 үйлерінің жанында;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"9 алаң", N 27 үйдің жанында;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Ескелді би көшесі, N 238 үйдің жанында;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Ғали Орманов көшесі бойынша, N 49 және N 51 үйлердің аралығы;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Өтенай селолық округінде, Тілек Әбжіәлиев көшесі бойынша, "Мәдениет үйі" жанында;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Еркін селолық округінің, Сүлеев көшесі, N 68 үйдің жанында;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"Мүшелтой" шағын ауданы, N 19 үйдің жанында;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Чкалова көшесі мен Құдайбердиев көшелерінің қиылысында, "Спутник" дүкенінің жанында;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Біржан Сал көшесі, N 66 үйдің жанында.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