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744f" w14:textId="1207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03/15 қаулысы. Қарағанды облысының Әділет департаментінде 2013 жылғы 5 наурызда N 2211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"Семей ядролық сынақ полигонында ядролық сынақтардың салдарынан зардап шеккен азаматтарды тіркеу және есепке алу" мемлекеттiк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N 03/15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w:t>
      </w:r>
      <w:r>
        <w:br/>
      </w:r>
      <w:r>
        <w:rPr>
          <w:rFonts w:ascii="Times New Roman"/>
          <w:b/>
          <w:i w:val="false"/>
          <w:color w:val="000000"/>
        </w:rPr>
        <w:t>
мемлекеттік қызметін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"Ақтоғай ауданының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(1949 - 1965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4) 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 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Арнайы комиссия жұмыс органының орналасқан жері: 100200, Қарағанды облысы, Ақтоғай ауданы, Ақтоғай селосы, Бөкейхан көшесі 7, "Ақтоғай ауданының жұмыспен қамту және әлеуметтік бағдарламалар бөлімі" мемлекеттік мекемесі, телефон: 8 (71037) 21369, факс: 8 (71037) 21290, электронды поштаның мекен-жайы enbek2011@mail.ru.</w:t>
      </w:r>
      <w:r>
        <w:br/>
      </w:r>
      <w:r>
        <w:rPr>
          <w:rFonts w:ascii="Times New Roman"/>
          <w:b w:val="false"/>
          <w:i w:val="false"/>
          <w:color w:val="000000"/>
          <w:sz w:val="28"/>
        </w:rPr>
        <w:t>
      Жұмыс кестесі: күн сайын сағат 9-00 бастап 18-00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100200, Қарағанды облысы, Ақтоғай ауданы, Ақтоғай селосы, Бөкейхан көшесі 10, телефон: 8 (71037) 21105 және Сарышаған кенті, Абай көшесі 12, телефон: 8 (71038) 22338,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 құжаттар туралы толық ақпарат http://www.aktogay.kz. интернет-ресурсында, арнайы комиссияның жұмыс органының және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8"/>
    <w:bookmarkStart w:name="z21" w:id="9"/>
    <w:p>
      <w:pPr>
        <w:spacing w:after="0"/>
        <w:ind w:left="0"/>
        <w:jc w:val="left"/>
      </w:pPr>
      <w:r>
        <w:rPr>
          <w:rFonts w:ascii="Times New Roman"/>
          <w:b/>
          <w:i w:val="false"/>
          <w:color w:val="000000"/>
        </w:rPr>
        <w:t xml:space="preserve"> 
4. Мемлекеттік қызметті көрсету барысындағы іс-әрекеттер</w:t>
      </w:r>
      <w:r>
        <w:br/>
      </w:r>
      <w:r>
        <w:rPr>
          <w:rFonts w:ascii="Times New Roman"/>
          <w:b/>
          <w:i w:val="false"/>
          <w:color w:val="000000"/>
        </w:rPr>
        <w:t>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 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4) 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7) орталықтың кеңесшісі (ҚФБ 7).</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Құрылымдық-функционалдық бірліктерінің іс-әрекеттерінің сипаттамасы (ҚФБ)</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2665"/>
        <w:gridCol w:w="3270"/>
        <w:gridCol w:w="7593"/>
      </w:tblGrid>
      <w:tr>
        <w:trPr>
          <w:trHeight w:val="6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Жұмыс органының басшылығы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органының жауапты орындаушысы</w:t>
            </w:r>
          </w:p>
        </w:tc>
      </w:tr>
      <w:tr>
        <w:trPr>
          <w:trHeight w:val="82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27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4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81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225"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12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1" w:id="15"/>
    <w:p>
      <w:pPr>
        <w:spacing w:after="0"/>
        <w:ind w:left="0"/>
        <w:jc w:val="both"/>
      </w:pPr>
      <w:r>
        <w:rPr>
          <w:rFonts w:ascii="Times New Roman"/>
          <w:b w:val="false"/>
          <w:i w:val="false"/>
          <w:color w:val="000000"/>
          <w:sz w:val="28"/>
        </w:rPr>
        <w:t>
      Баламалы үдерістің іс-әрекеті (барысының, жұмыс ағынының)</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078"/>
        <w:gridCol w:w="3078"/>
        <w:gridCol w:w="3876"/>
        <w:gridCol w:w="3394"/>
      </w:tblGrid>
      <w:tr>
        <w:trPr>
          <w:trHeight w:val="13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Жұмыс органының басшылығы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органының жауапты орындаушысы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Жұмыс органының құжат жүргізу және өтініштермен жұмыс бойынша жауапты орындаушысы</w:t>
            </w:r>
          </w:p>
        </w:tc>
      </w:tr>
      <w:tr>
        <w:trPr>
          <w:trHeight w:val="39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r>
      <w:tr>
        <w:trPr>
          <w:trHeight w:val="15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r>
      <w:tr>
        <w:trPr>
          <w:trHeight w:val="9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4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064"/>
        <w:gridCol w:w="3064"/>
        <w:gridCol w:w="3064"/>
        <w:gridCol w:w="4256"/>
      </w:tblGrid>
      <w:tr>
        <w:trPr>
          <w:trHeight w:val="10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855"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135"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9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тексереді тұтынушыға қолхат береді.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2-қосымша</w:t>
      </w:r>
    </w:p>
    <w:bookmarkEnd w:id="16"/>
    <w:bookmarkStart w:name="z33" w:id="17"/>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көрсетудің үдерісі. Баламалы үдеріс.</w:t>
      </w:r>
    </w:p>
    <w:bookmarkEnd w:id="17"/>
    <w:p>
      <w:pPr>
        <w:spacing w:after="0"/>
        <w:ind w:left="0"/>
        <w:jc w:val="both"/>
      </w:pPr>
      <w:r>
        <w:drawing>
          <wp:inline distT="0" distB="0" distL="0" distR="0">
            <wp:extent cx="82677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67700" cy="499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