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034d" w14:textId="a770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8 сессиясының 2012 жылғы 20 қыркүйектегі № 5 "Бұқар жырау ауданының тұрғындарына тұрғын үй көмегін көрсету мөлшері мен тәртібі туралы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2013 жылғы 25 желтоқсандағы 20 сессиясының № 6 шешімі. Қарағанды облысының Әділет департаментінде 2014 жылғы 17 қаңтарда № 2508 болып тіркелді. Күші жойылды - Қарағанды облысы Бұқар жырау аудандық мәслихатының 2024 жылғы 26 маусымдағы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 1997 жылғы 16 сәуірдегі,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Заңдарына, Қазақстан Республикасы Үкіметінің "Әлеуметтiк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көмегiн көрсету ережесiн бекiту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"Жергілікті атқарушы органдар көрсететін әлеуметтік қорғау саласындағы мемлекеттік қызметтердің стандарттарын бекіту туралы" 2011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8 сессиясының 2012 жылғы 20 қыркүйектегі № 5 "Бұқар жырау ауданының тұрғындарына тұрғын үй көмегін көрсету мөлшері мен тәртібі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1951 болып тіркелген, 2012 жылғы 3 қарашадағы № 44 "Сарыарқа" аудандық газетінде жарияланған),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ауданының тұрғындарына тұрғын үй көмегін көрсету мөлшері мен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"сондай-ақ 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жеткізуші ұсынған шот бойынша" деген сөздер алынып тасталсын;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және оныншы абзацтары алынып тасталсын.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 және 2014 жылғы 1 қаңтарынан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