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30d" w14:textId="433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Құланды ауылы бойынша аймақтарға бөлу жобасын (схемасын) және жер учаскелері үшін төлемақының базалық мөлшерлемесіне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мәслихатының 2013 жылғы 26 сәуірдегі N 8/97 шешімі. Маңғыстау облысының Әділет департаментінде 2013 жылғы 07 маусымда N 2250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 және бүкіл мәтін бойынша "ставкаларына",  деген сөз "мөлшерлемесіне" деген сөзбен ауыстырылды - Маңғыстау облысы Қарақия аудандық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№ 29/298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Тақырыптағы және бүкіл мәтін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"селосы" деген сөздер "ауылы" деген сөздермен ауыстырылды - Маңғыстау облысы Қарақия аудандық мәслихатының 26.08.2009 № 12/129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Қарақия аудандық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Құланды ауылы бойынша аймақтарға бөлу жобасы (схемасы) және жер учаскелері үшін төлемақының базалық мөлшерлемесіне түзету коэффициенттері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 Таджибаев).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мекемесімен (Н. Жубаназаров, келісім бойынша) осы шешім мемлекеттік тіркелгеннен кейін, оның интернет - ресурста жариялануын қамтамасыз етілсін.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төрағасының өкілеттігін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асырушы,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Мееров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"Қарақия ауданы бойынша жер қатынастары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мекемесінің бастығы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Толегенов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 26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"Қарақия ауданы бойынша салық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Б. Абилов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 26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схеманы қағаз нұсқасынан қараңыз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әкімшілік және басқа да құрылымдар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коэффи-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 орталығы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жерлер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және басқа режимдегі қолданысқа арналған жерлер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аймақ: селитебтік аймақ;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аймақ: өнеркәсіптік жерлер;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аймақ: ауыл шаруашылығына және басқа режимдегі қолданысқа арналған жерлер.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