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8dd08" w14:textId="f48dd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2012 жылғы 20 желтоқсандағы № 58 "Денисов ауданының 2013-2015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Денисов ауданы мәслихатының 2013 жылғы 12 желтоқсандағы № 83 шешімі. Қостанай облысының Әділет департаментінде 2013 жылғы 13 желтоқсанда № 4357 болып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Қостанай облыстық мәслихатының 2013 жылғы 9 желтоқсандағы № 220 "Мәслихаттың 2012 жылғы 7 желтоқсандағы № 101 "Қостанай облысының 2013-2015 жылдарға арналған облыстық бюджеті туралы" шешіміне өзгерістер енгізу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4336 тіркелген) негізінде Денисов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2012 жылғы 20 желтоқсандағы № 58 "Денисов ауданының 2013-2015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3953 тіркелген, 2013 жылғы 18 қаңтарда, 2013 жылғы 25 қаңтарда "Наше время"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Денисов ауданының 2013-2015 жылдарға арналған бюджеті тиісінше 1, 2 және 3-қосымшаларға сәйкес, оның ішінде 2013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1996997,1 мың теңге, оның ішінде:</w:t>
      </w:r>
      <w:r>
        <w:br/>
      </w:r>
      <w:r>
        <w:rPr>
          <w:rFonts w:ascii="Times New Roman"/>
          <w:b w:val="false"/>
          <w:i w:val="false"/>
          <w:color w:val="000000"/>
          <w:sz w:val="28"/>
        </w:rPr>
        <w:t>
      салықтық түсімдер бойынша – 518915,0 мың теңге;</w:t>
      </w:r>
      <w:r>
        <w:br/>
      </w:r>
      <w:r>
        <w:rPr>
          <w:rFonts w:ascii="Times New Roman"/>
          <w:b w:val="false"/>
          <w:i w:val="false"/>
          <w:color w:val="000000"/>
          <w:sz w:val="28"/>
        </w:rPr>
        <w:t>
      салықтық емес түсімдер бойынша – 3251,0 мың теңге;</w:t>
      </w:r>
      <w:r>
        <w:br/>
      </w:r>
      <w:r>
        <w:rPr>
          <w:rFonts w:ascii="Times New Roman"/>
          <w:b w:val="false"/>
          <w:i w:val="false"/>
          <w:color w:val="000000"/>
          <w:sz w:val="28"/>
        </w:rPr>
        <w:t>
      негізгі капиталды сатудан түсетін түсімдер бойынша – 22722, 0 мың теңге;</w:t>
      </w:r>
      <w:r>
        <w:br/>
      </w:r>
      <w:r>
        <w:rPr>
          <w:rFonts w:ascii="Times New Roman"/>
          <w:b w:val="false"/>
          <w:i w:val="false"/>
          <w:color w:val="000000"/>
          <w:sz w:val="28"/>
        </w:rPr>
        <w:t>
      трансферттер түсімі бойынша – 1452109,1 мың теңге;</w:t>
      </w:r>
      <w:r>
        <w:br/>
      </w:r>
      <w:r>
        <w:rPr>
          <w:rFonts w:ascii="Times New Roman"/>
          <w:b w:val="false"/>
          <w:i w:val="false"/>
          <w:color w:val="000000"/>
          <w:sz w:val="28"/>
        </w:rPr>
        <w:t>
</w:t>
      </w:r>
      <w:r>
        <w:rPr>
          <w:rFonts w:ascii="Times New Roman"/>
          <w:b w:val="false"/>
          <w:i w:val="false"/>
          <w:color w:val="000000"/>
          <w:sz w:val="28"/>
        </w:rPr>
        <w:t>
      2) шығындар – 2013062,7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43897,0 мың теңге, оның ішінде:</w:t>
      </w:r>
      <w:r>
        <w:br/>
      </w:r>
      <w:r>
        <w:rPr>
          <w:rFonts w:ascii="Times New Roman"/>
          <w:b w:val="false"/>
          <w:i w:val="false"/>
          <w:color w:val="000000"/>
          <w:sz w:val="28"/>
        </w:rPr>
        <w:t>
      бюджеттік кредиттер – 47238,0 мың теңге;</w:t>
      </w:r>
      <w:r>
        <w:br/>
      </w:r>
      <w:r>
        <w:rPr>
          <w:rFonts w:ascii="Times New Roman"/>
          <w:b w:val="false"/>
          <w:i w:val="false"/>
          <w:color w:val="000000"/>
          <w:sz w:val="28"/>
        </w:rPr>
        <w:t>
      бюджеттік кредиттерді өтеу – 3341,0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- 59962,6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59962,6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мәслихатының кезектен</w:t>
      </w:r>
      <w:r>
        <w:br/>
      </w:r>
      <w:r>
        <w:rPr>
          <w:rFonts w:ascii="Times New Roman"/>
          <w:b w:val="false"/>
          <w:i w:val="false"/>
          <w:color w:val="000000"/>
          <w:sz w:val="28"/>
        </w:rPr>
        <w:t>
</w:t>
      </w:r>
      <w:r>
        <w:rPr>
          <w:rFonts w:ascii="Times New Roman"/>
          <w:b w:val="false"/>
          <w:i/>
          <w:color w:val="000000"/>
          <w:sz w:val="28"/>
        </w:rPr>
        <w:t>      тыс сессиясының төрайымы                   Г. Микулич</w:t>
      </w:r>
    </w:p>
    <w:p>
      <w:pPr>
        <w:spacing w:after="0"/>
        <w:ind w:left="0"/>
        <w:jc w:val="both"/>
      </w:pPr>
      <w:r>
        <w:rPr>
          <w:rFonts w:ascii="Times New Roman"/>
          <w:b w:val="false"/>
          <w:i/>
          <w:color w:val="000000"/>
          <w:sz w:val="28"/>
        </w:rPr>
        <w:t>      Денисов аудандық</w:t>
      </w:r>
      <w:r>
        <w:br/>
      </w:r>
      <w:r>
        <w:rPr>
          <w:rFonts w:ascii="Times New Roman"/>
          <w:b w:val="false"/>
          <w:i w:val="false"/>
          <w:color w:val="000000"/>
          <w:sz w:val="28"/>
        </w:rPr>
        <w:t>
</w:t>
      </w:r>
      <w:r>
        <w:rPr>
          <w:rFonts w:ascii="Times New Roman"/>
          <w:b w:val="false"/>
          <w:i/>
          <w:color w:val="000000"/>
          <w:sz w:val="28"/>
        </w:rPr>
        <w:t>      мәслихатының хатшысы                       А. Мұрзабаев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"Денисов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 C.Ф. Рахметова</w:t>
      </w:r>
      <w:r>
        <w:br/>
      </w:r>
      <w:r>
        <w:rPr>
          <w:rFonts w:ascii="Times New Roman"/>
          <w:b w:val="false"/>
          <w:i w:val="false"/>
          <w:color w:val="000000"/>
          <w:sz w:val="28"/>
        </w:rPr>
        <w:t>
 </w:t>
      </w:r>
    </w:p>
    <w:bookmarkStart w:name="z12"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83 шешіміне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58 шешіміне 1-қосымша   </w:t>
      </w:r>
    </w:p>
    <w:p>
      <w:pPr>
        <w:spacing w:after="0"/>
        <w:ind w:left="0"/>
        <w:jc w:val="left"/>
      </w:pPr>
      <w:r>
        <w:rPr>
          <w:rFonts w:ascii="Times New Roman"/>
          <w:b/>
          <w:i w:val="false"/>
          <w:color w:val="000000"/>
        </w:rPr>
        <w:t xml:space="preserve"> 2013 жылға арналған Денисов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93"/>
        <w:gridCol w:w="241"/>
        <w:gridCol w:w="241"/>
        <w:gridCol w:w="7613"/>
        <w:gridCol w:w="223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1996997,1</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518915,0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237575,0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237575,0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133334,0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133334,0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127842,0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83214,0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31683,0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4015,0</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17624,0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2026,0</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11272,0</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10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22722,0</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16727,0</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16727,0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1452109,1</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1452109,1</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1452109,1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41"/>
        <w:gridCol w:w="793"/>
        <w:gridCol w:w="653"/>
        <w:gridCol w:w="6553"/>
        <w:gridCol w:w="247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2013062,7</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193012,0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174470,0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13008,0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13008,0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48707,0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48441,0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112755,0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107112,0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715,1</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17360,0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17360,0</w:t>
            </w:r>
          </w:p>
        </w:tc>
      </w:tr>
      <w:tr>
        <w:trPr>
          <w:trHeight w:val="13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17329,0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1032699,3</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99797,0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99797,0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48953,0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50844,0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893818,3</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893057,3</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872083,3</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20974,0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39084,0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39084,0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7329,0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0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14106,0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66669,0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50350,0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13960,0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13975,0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12715,0</w:t>
            </w:r>
          </w:p>
        </w:tc>
      </w:tr>
      <w:tr>
        <w:trPr>
          <w:trHeight w:val="10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16319,0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16319,0</w:t>
            </w:r>
          </w:p>
        </w:tc>
      </w:tr>
      <w:tr>
        <w:trPr>
          <w:trHeight w:val="10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15949,0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326900,0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310651,0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310651,0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310651,0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14033,0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13242,0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10802,0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104461,4</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29079,0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29079,0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29079,0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13289,0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13289,0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8828,0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w:t>
            </w:r>
          </w:p>
        </w:tc>
      </w:tr>
      <w:tr>
        <w:trPr>
          <w:trHeight w:val="10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34074,4</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32504,4</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29798,4</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28019,0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18010,0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5150,0</w:t>
            </w:r>
          </w:p>
        </w:tc>
      </w:tr>
      <w:tr>
        <w:trPr>
          <w:trHeight w:val="10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75219,1</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12069,0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6181,9</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56731,1</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56731,1</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56731,1</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7947,0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7947,0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7947,0</w:t>
            </w:r>
          </w:p>
        </w:tc>
      </w:tr>
      <w:tr>
        <w:trPr>
          <w:trHeight w:val="16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145782,0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145782,0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140819,0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140819,0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54133,0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54071,0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16422,0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16422,0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12684,0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ауыл шаруашылығы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12684,0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14795,0</w:t>
            </w:r>
          </w:p>
        </w:tc>
      </w:tr>
      <w:tr>
        <w:trPr>
          <w:trHeight w:val="10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14765,0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3581,2</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3581,2</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3581,2</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1450,2</w:t>
            </w:r>
          </w:p>
        </w:tc>
      </w:tr>
      <w:tr>
        <w:trPr>
          <w:trHeight w:val="13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43897,0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47238,0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47238,0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47238,0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47238,0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47238,0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-59962,6</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59962,6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