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a3e5" w14:textId="df9a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саласының азаматтық қызметшілеріне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2013 жылғы 12 желтоқсандағы № 121 шешімі. Қостанай облысының Әділет департаментінде 2014 жылғы 6 қаңтарда № 4397 болып тіркелді. Күші жойылды - Қостанай облысы Жангелдин ауданы мәслихатының 2014 жылғы 26 наурыздағы № 163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26.03.2014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Ауылдық жерде жұмыс iстейтiн әлеуметтiк қамсыздандыру, бiлiм беру, мәдениет азаматтық қызметшiлерiне қалалық жағдайда қызметтiң осы түрлерiмен айналысатын азаматтық қызметшiлердiң жалақыларымен және ставкаларымен салыстырғанда аудандық бюджет қаражаты есебiнен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Жангелдин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Қ. Әлібек</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Е. Биржикенов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