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40f4" w14:textId="9a84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2012 жылғы 21 желтоқсандағы N 56/18 "Шарбақты ауданының 2013 - 2015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2013 жылғы 13 желтоқсандағы N 97/35 шешімі. Павлодар облысының Әділет департаментінде 2013 жылғы 23 желтоқсанда N 3644 болып тіркелді. Күші жойылды - Павлодар облысы Шарбақты аудандық мәслихатының 2014 жылғы 15 қаңтардағы N 109/37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15.01.2014 N 109/37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2012 жылғы 21 желтоқсандағы N 56/18 "Шарбақты ауданының 2013 – 2015 жылдарға арналған бюджеті туралы" (Нормативтік құқықтық актілерді мемлекеттік тіркеу тізілімінде N 3313 тіркелген, 2013 жылғы 10 қаңтардағы ауданның "Маралды" газетінің N 2, 2013 жылғы 17 қаңтардағы ауданның "Маралды" газетінің N 3, 2013 жылғы 10 қаңтардағы ауданның "Трибуна" газетінің N 2, 2013 жылғы 17 қаңтардағы ауданның "Трибуна" газетінің N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"2423259" деген сандар "2419863" деген сандармен ауыстырылсын;</w:t>
      </w:r>
      <w:r>
        <w:br/>
      </w:r>
      <w:r>
        <w:rPr>
          <w:rFonts w:ascii="Times New Roman"/>
          <w:b w:val="false"/>
          <w:i w:val="false"/>
          <w:color w:val="000000"/>
          <w:sz w:val="28"/>
        </w:rPr>
        <w:t>
      "2049608" деген сандар "2046212" деген сандармен ауыстырылысын;</w:t>
      </w:r>
      <w:r>
        <w:br/>
      </w:r>
      <w:r>
        <w:rPr>
          <w:rFonts w:ascii="Times New Roman"/>
          <w:b w:val="false"/>
          <w:i w:val="false"/>
          <w:color w:val="000000"/>
          <w:sz w:val="28"/>
        </w:rPr>
        <w:t>
      2) тармақшада "2433800" деген сандар "2430404"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тармақта</w:t>
      </w:r>
      <w:r>
        <w:rPr>
          <w:rFonts w:ascii="Times New Roman"/>
          <w:b w:val="false"/>
          <w:i w:val="false"/>
          <w:color w:val="000000"/>
          <w:sz w:val="28"/>
        </w:rPr>
        <w:t>:</w:t>
      </w:r>
      <w:r>
        <w:br/>
      </w:r>
      <w:r>
        <w:rPr>
          <w:rFonts w:ascii="Times New Roman"/>
          <w:b w:val="false"/>
          <w:i w:val="false"/>
          <w:color w:val="000000"/>
          <w:sz w:val="28"/>
        </w:rPr>
        <w:t>
      "8194" деген сандар "5550" деген сандармен ауыстырылсын;</w:t>
      </w:r>
      <w:r>
        <w:br/>
      </w:r>
      <w:r>
        <w:rPr>
          <w:rFonts w:ascii="Times New Roman"/>
          <w:b w:val="false"/>
          <w:i w:val="false"/>
          <w:color w:val="000000"/>
          <w:sz w:val="28"/>
        </w:rPr>
        <w:t>
      "8334" деген сандар "8109" деген сандармен ауыстырылсын;</w:t>
      </w:r>
      <w:r>
        <w:br/>
      </w:r>
      <w:r>
        <w:rPr>
          <w:rFonts w:ascii="Times New Roman"/>
          <w:b w:val="false"/>
          <w:i w:val="false"/>
          <w:color w:val="000000"/>
          <w:sz w:val="28"/>
        </w:rPr>
        <w:t>
      "121" деген сандар "108" деген сандармен ауыстырылсын;</w:t>
      </w:r>
      <w:r>
        <w:br/>
      </w:r>
      <w:r>
        <w:rPr>
          <w:rFonts w:ascii="Times New Roman"/>
          <w:b w:val="false"/>
          <w:i w:val="false"/>
          <w:color w:val="000000"/>
          <w:sz w:val="28"/>
        </w:rPr>
        <w:t>
      "20704" деген сандар "20690" деген сандармен ауыстырылсын;</w:t>
      </w:r>
      <w:r>
        <w:br/>
      </w:r>
      <w:r>
        <w:rPr>
          <w:rFonts w:ascii="Times New Roman"/>
          <w:b w:val="false"/>
          <w:i w:val="false"/>
          <w:color w:val="000000"/>
          <w:sz w:val="28"/>
        </w:rPr>
        <w:t>
      "17331" деген сандар "16831"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bookmarkStart w:name="z8"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2013 жылғы 13 желтоқсандағы </w:t>
      </w:r>
      <w:r>
        <w:br/>
      </w:r>
      <w:r>
        <w:rPr>
          <w:rFonts w:ascii="Times New Roman"/>
          <w:b w:val="false"/>
          <w:i w:val="false"/>
          <w:color w:val="000000"/>
          <w:sz w:val="28"/>
        </w:rPr>
        <w:t xml:space="preserve">
N 97/35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Шарбақты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N 56/18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2013 жылға арналған аудандық бюджет</w:t>
      </w:r>
      <w:r>
        <w:br/>
      </w:r>
      <w:r>
        <w:rPr>
          <w:rFonts w:ascii="Times New Roman"/>
          <w:b/>
          <w:i w:val="false"/>
          <w:color w:val="000000"/>
        </w:rPr>
        <w:t>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58"/>
        <w:gridCol w:w="558"/>
        <w:gridCol w:w="8412"/>
        <w:gridCol w:w="2295"/>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2419863</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359328</w:t>
            </w:r>
          </w:p>
        </w:tc>
      </w:tr>
      <w:tr>
        <w:trPr>
          <w:trHeight w:val="1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51060</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жүрізгені үшін алынатын алымдар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r>
      <w:tr>
        <w:trPr>
          <w:trHeight w:val="1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2046212</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2046212</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78"/>
        <w:gridCol w:w="598"/>
        <w:gridCol w:w="558"/>
        <w:gridCol w:w="7852"/>
        <w:gridCol w:w="231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2430404</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247197</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218241</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61051</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52794</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143116</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139407</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11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1433068</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148999</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90671</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77995</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58328</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58328</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1205150</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1196252</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1164155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32097</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78919</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78919</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9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оқу–әдістемелік кешендерді сатып алу және жеткізу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конкурстарды өткізу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40985</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90781</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71466</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8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11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көшекшілермен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12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301437</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картасының екінші бағыты шеңберінде жетіспейтін инженерлік–коммуникациялық инфрақұрылымды дамыту мен жайластыруға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254015</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252353</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бөлу жүйелерін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251614</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38055</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тұрмыстық 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және елді мекендерді көркейтуді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161735</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84078</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82578</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41687</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9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62588</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ауылдық округтердiң, кентердің, ауылдардың шекарасын белгiлеу кезiнде жүргiзiлетiн жерге орналастыру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12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r>
      <w:tr>
        <w:trPr>
          <w:trHeight w:val="8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тұрмыстық 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тұрмыстық–коммуналдық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47995</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22025</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22025</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12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бюждеттік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