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2f9" w14:textId="f2c5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Жамбыл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шараларын ұсыну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2013 жылғы 28 наурыздағы N 13/3 шешімі. Солтүстік Қазақстан облысының Әділет департаментінде 2013 жылғы 17 сәуірде N 2239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қағидасын бекіту туралы"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қажеттілікті есепке ала отырып, 2013 жылы Жамбыл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