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59ca" w14:textId="4a75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2012 жылғы 13 қарашадағы № 7/35 "Бәйдібек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both"/>
      </w:pPr>
      <w:r>
        <w:rPr>
          <w:rFonts w:ascii="Times New Roman"/>
          <w:b w:val="false"/>
          <w:i w:val="false"/>
          <w:color w:val="000000"/>
          <w:sz w:val="28"/>
        </w:rPr>
        <w:t>Оңтүстік Қазақстан облысы Бәйдібек аудандық мәслихатының 2013 жылғы 23 желтоқсандағы № 20/102 шешімі. Оңтүстік Қазақстан облысының әділет департаментімен 2013 жылғы 25 желтоқсанда № 2462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Бәйдібек аудандық мәслихаттың 2012 жылғы 13 қарашадағы № 7/35 «Бәйдібек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2161 тіркелген, 2012 жылғы 21 желтоқсандағы «Алғабас»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Бәйдібек ауданы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15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2. Осы шешім 2014 жылғы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А.Құлымбет</w:t>
      </w:r>
    </w:p>
    <w:p>
      <w:pPr>
        <w:spacing w:after="0"/>
        <w:ind w:left="0"/>
        <w:jc w:val="both"/>
      </w:pPr>
      <w:r>
        <w:rPr>
          <w:rFonts w:ascii="Times New Roman"/>
          <w:b w:val="false"/>
          <w:i/>
          <w:color w:val="000000"/>
          <w:sz w:val="28"/>
        </w:rPr>
        <w:t>      Мәслихат хатшысы:                          С.Спабеков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