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5efc" w14:textId="f935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2013 жылғы 24 желтоқсандағы № 26/171-V шешімі. Оңтүстік Қазақстан облысының әділет департаментімен 2013 жылғы 30 желтоқсанда № 2473 болып тіркелді. Күші жойылды - Оңтүстiк Қазақстан облысы Қазығұрт аудандық мәслихатының 2017 жылғы 7 сәуірдегі № 14/84-VI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аудандық мәслихатының 07.04.2017 № 14/84-VI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14-6-165 нөмірімен тіркелген, 2012 жылғы 5 шілдедегі "Қазығұрт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Қазығұрт ауданы бойынша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Шектi жол берiлетiн шығыстар үлесi отбасының (азаматтың) табысының 20 пайызы мөлшерiнде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 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жалданған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2014 жылдың 1 қаңтарынан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