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ffdc" w14:textId="b8af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11/65-V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26 сәуірдегі N 14/93-V шешімі. Шығыс Қазақстан облысының Әділет департаментінде 2013 жылғы 08 мамырда N 2944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17 сәуірдегі № 11/119-V (нормативтік құқықтық актілерді мемлекеттік тіркеу Тізілімінде № 2934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Аягөз аудандық мәслихатының 2012 жылғы 21 желтоқсандағы № 11/65-V «2013-2015 жылдарға арналған аудандық бюджет туралы» (нормативтік құқықтық актілерді мемлекеттік тіркеу Тізілімде № 2797 тіркелген, «Аягөз жаңалықтары» газетінің 2013 жылғы 16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5778515,0 мың теңге, соның ішінде:</w:t>
      </w:r>
      <w:r>
        <w:br/>
      </w:r>
      <w:r>
        <w:rPr>
          <w:rFonts w:ascii="Times New Roman"/>
          <w:b w:val="false"/>
          <w:i w:val="false"/>
          <w:color w:val="000000"/>
          <w:sz w:val="28"/>
        </w:rPr>
        <w:t>
      салықтық түсімдер – 1765658,0 мың теңге;</w:t>
      </w:r>
      <w:r>
        <w:br/>
      </w:r>
      <w:r>
        <w:rPr>
          <w:rFonts w:ascii="Times New Roman"/>
          <w:b w:val="false"/>
          <w:i w:val="false"/>
          <w:color w:val="000000"/>
          <w:sz w:val="28"/>
        </w:rPr>
        <w:t>
      салықтық емес түсімдер – 66674,0 мың теңге;</w:t>
      </w:r>
      <w:r>
        <w:br/>
      </w:r>
      <w:r>
        <w:rPr>
          <w:rFonts w:ascii="Times New Roman"/>
          <w:b w:val="false"/>
          <w:i w:val="false"/>
          <w:color w:val="000000"/>
          <w:sz w:val="28"/>
        </w:rPr>
        <w:t>
      негізгі капиталды сатудан түсетін түсімдер – 9779,0 мың теңге;</w:t>
      </w:r>
      <w:r>
        <w:br/>
      </w:r>
      <w:r>
        <w:rPr>
          <w:rFonts w:ascii="Times New Roman"/>
          <w:b w:val="false"/>
          <w:i w:val="false"/>
          <w:color w:val="000000"/>
          <w:sz w:val="28"/>
        </w:rPr>
        <w:t>
      трансферттердің түсімдері – 3936404,0 мың теңге;</w:t>
      </w:r>
      <w:r>
        <w:br/>
      </w:r>
      <w:r>
        <w:rPr>
          <w:rFonts w:ascii="Times New Roman"/>
          <w:b w:val="false"/>
          <w:i w:val="false"/>
          <w:color w:val="000000"/>
          <w:sz w:val="28"/>
        </w:rPr>
        <w:t>
      шығындар – 5977622,9 мың теңге;</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1877,0 мың теңге;</w:t>
      </w:r>
      <w:r>
        <w:br/>
      </w:r>
      <w:r>
        <w:rPr>
          <w:rFonts w:ascii="Times New Roman"/>
          <w:b w:val="false"/>
          <w:i w:val="false"/>
          <w:color w:val="000000"/>
          <w:sz w:val="28"/>
        </w:rPr>
        <w:t>
      қаржы активтерімен жасалатын операциялар бойынша сальдо – 48895,0 мың теңге, соның ішінде:</w:t>
      </w:r>
      <w:r>
        <w:br/>
      </w:r>
      <w:r>
        <w:rPr>
          <w:rFonts w:ascii="Times New Roman"/>
          <w:b w:val="false"/>
          <w:i w:val="false"/>
          <w:color w:val="000000"/>
          <w:sz w:val="28"/>
        </w:rPr>
        <w:t>
      қаржы активтерін сатып алу – 48895,0 мың теңге;</w:t>
      </w:r>
      <w:r>
        <w:br/>
      </w:r>
      <w:r>
        <w:rPr>
          <w:rFonts w:ascii="Times New Roman"/>
          <w:b w:val="false"/>
          <w:i w:val="false"/>
          <w:color w:val="000000"/>
          <w:sz w:val="28"/>
        </w:rPr>
        <w:t>
      бюджет тапшылығы (профициті) – - 251318,9 мың теңге;</w:t>
      </w:r>
      <w:r>
        <w:br/>
      </w:r>
      <w:r>
        <w:rPr>
          <w:rFonts w:ascii="Times New Roman"/>
          <w:b w:val="false"/>
          <w:i w:val="false"/>
          <w:color w:val="000000"/>
          <w:sz w:val="28"/>
        </w:rPr>
        <w:t>
      бюджет тапшылығын қаржыландыру (профицитін пайдалану) – 251318,9 мың теңге.»;</w:t>
      </w:r>
      <w:r>
        <w:br/>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1 функционалдық тобы:</w:t>
      </w:r>
      <w:r>
        <w:br/>
      </w:r>
      <w:r>
        <w:rPr>
          <w:rFonts w:ascii="Times New Roman"/>
          <w:b w:val="false"/>
          <w:i w:val="false"/>
          <w:color w:val="000000"/>
          <w:sz w:val="28"/>
        </w:rPr>
        <w:t>
      112.003.000 «Мемлекеттік органдардың күрделі шығыстары» бағдарламасымен толықтырылсын;</w:t>
      </w:r>
      <w:r>
        <w:br/>
      </w:r>
      <w:r>
        <w:rPr>
          <w:rFonts w:ascii="Times New Roman"/>
          <w:b w:val="false"/>
          <w:i w:val="false"/>
          <w:color w:val="000000"/>
          <w:sz w:val="28"/>
        </w:rPr>
        <w:t>
      «Тұрғын үй - коммуналдық шаруашылық» 7 функционалдық тобы:</w:t>
      </w:r>
      <w:r>
        <w:br/>
      </w:r>
      <w:r>
        <w:rPr>
          <w:rFonts w:ascii="Times New Roman"/>
          <w:b w:val="false"/>
          <w:i w:val="false"/>
          <w:color w:val="000000"/>
          <w:sz w:val="28"/>
        </w:rPr>
        <w:t>
      123.014.000 «Елді мекендерді сумен жабдықтауды ұйымдастыру» бағдарламасымен толықтырылсын;</w:t>
      </w:r>
      <w:r>
        <w:br/>
      </w:r>
      <w:r>
        <w:rPr>
          <w:rFonts w:ascii="Times New Roman"/>
          <w:b w:val="false"/>
          <w:i w:val="false"/>
          <w:color w:val="000000"/>
          <w:sz w:val="28"/>
        </w:rPr>
        <w:t>
      «Мәдениет, спорт, туризм және ақпараттық кеңістiк» 8 функционалдық тобы келесі бағдарламалармен толықтырылсын:</w:t>
      </w:r>
      <w:r>
        <w:br/>
      </w:r>
      <w:r>
        <w:rPr>
          <w:rFonts w:ascii="Times New Roman"/>
          <w:b w:val="false"/>
          <w:i w:val="false"/>
          <w:color w:val="000000"/>
          <w:sz w:val="28"/>
        </w:rPr>
        <w:t>
      466.011.015 «Мәдениет объектілерін дамыту»;</w:t>
      </w:r>
      <w:r>
        <w:br/>
      </w:r>
      <w:r>
        <w:rPr>
          <w:rFonts w:ascii="Times New Roman"/>
          <w:b w:val="false"/>
          <w:i w:val="false"/>
          <w:color w:val="000000"/>
          <w:sz w:val="28"/>
        </w:rPr>
        <w:t>
      455.010.000 «Мемлекеттік органдардың күрделі шығыстары»;</w:t>
      </w:r>
      <w:r>
        <w:br/>
      </w:r>
      <w:r>
        <w:rPr>
          <w:rFonts w:ascii="Times New Roman"/>
          <w:b w:val="false"/>
          <w:i w:val="false"/>
          <w:color w:val="000000"/>
          <w:sz w:val="28"/>
        </w:rPr>
        <w:t>
      «Өнеркәсіп, сәулет, қала құрылысы және құрылыс қызметі» 11 функционалдық тобы:</w:t>
      </w:r>
      <w:r>
        <w:br/>
      </w:r>
      <w:r>
        <w:rPr>
          <w:rFonts w:ascii="Times New Roman"/>
          <w:b w:val="false"/>
          <w:i w:val="false"/>
          <w:color w:val="000000"/>
          <w:sz w:val="28"/>
        </w:rPr>
        <w:t>
      466.015.000 «Мемлекеттік органдардың күрделі шығыстары» бағдарламасымен толықтырылсын;</w:t>
      </w:r>
      <w:r>
        <w:br/>
      </w:r>
      <w:r>
        <w:rPr>
          <w:rFonts w:ascii="Times New Roman"/>
          <w:b w:val="false"/>
          <w:i w:val="false"/>
          <w:color w:val="000000"/>
          <w:sz w:val="28"/>
        </w:rPr>
        <w:t>
      «Көлiк және коммуникация» 12 функционалдық тобы:</w:t>
      </w:r>
      <w:r>
        <w:br/>
      </w:r>
      <w:r>
        <w:rPr>
          <w:rFonts w:ascii="Times New Roman"/>
          <w:b w:val="false"/>
          <w:i w:val="false"/>
          <w:color w:val="000000"/>
          <w:sz w:val="28"/>
        </w:rPr>
        <w:t>
      123.045.015 «Елді-мекендердің көшелерін күрделі және орташа жөндеу» бағдарламасымен толықтырылсын;</w:t>
      </w:r>
      <w:r>
        <w:br/>
      </w:r>
      <w:r>
        <w:rPr>
          <w:rFonts w:ascii="Times New Roman"/>
          <w:b w:val="false"/>
          <w:i w:val="false"/>
          <w:color w:val="000000"/>
          <w:sz w:val="28"/>
        </w:rPr>
        <w:t>
      «Басқалар» 13 функционалдық тобы келесі бағдарламалармен толықтырылсын:</w:t>
      </w:r>
      <w:r>
        <w:br/>
      </w:r>
      <w:r>
        <w:rPr>
          <w:rFonts w:ascii="Times New Roman"/>
          <w:b w:val="false"/>
          <w:i w:val="false"/>
          <w:color w:val="000000"/>
          <w:sz w:val="28"/>
        </w:rPr>
        <w:t>
      458.013.000 «Мемлекеттік органдардың күрделі шығыстары»;</w:t>
      </w:r>
      <w:r>
        <w:br/>
      </w:r>
      <w:r>
        <w:rPr>
          <w:rFonts w:ascii="Times New Roman"/>
          <w:b w:val="false"/>
          <w:i w:val="false"/>
          <w:color w:val="000000"/>
          <w:sz w:val="28"/>
        </w:rPr>
        <w:t>
      469.004.000 «Мемлекеттік органдардың күрделі шығыстары»;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 Дюсембаев</w:t>
      </w:r>
    </w:p>
    <w:p>
      <w:pPr>
        <w:spacing w:after="0"/>
        <w:ind w:left="0"/>
        <w:jc w:val="both"/>
      </w:pPr>
      <w:r>
        <w:rPr>
          <w:rFonts w:ascii="Times New Roman"/>
          <w:b w:val="false"/>
          <w:i/>
          <w:color w:val="000000"/>
          <w:sz w:val="28"/>
        </w:rPr>
        <w:t>      Мәслихат хатшысы                           Т. Бозтаев</w:t>
      </w:r>
    </w:p>
    <w:bookmarkStart w:name="z4"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2013 жылғы 26 сәуірдегі</w:t>
      </w:r>
      <w:r>
        <w:br/>
      </w:r>
      <w:r>
        <w:rPr>
          <w:rFonts w:ascii="Times New Roman"/>
          <w:b w:val="false"/>
          <w:i w:val="false"/>
          <w:color w:val="000000"/>
          <w:sz w:val="28"/>
        </w:rPr>
        <w:t>
№ 14/93-V шешімімен бекітілген</w:t>
      </w:r>
    </w:p>
    <w:bookmarkEnd w:id="1"/>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93"/>
        <w:gridCol w:w="673"/>
        <w:gridCol w:w="7643"/>
        <w:gridCol w:w="236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5778515,0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1765658,0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630627,0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502519,0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403150,0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1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6841,0</w:t>
            </w:r>
          </w:p>
        </w:tc>
      </w:tr>
      <w:tr>
        <w:trPr>
          <w:trHeight w:val="4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22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3936404,0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3936404,0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3936404,0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598714,0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56"/>
        <w:gridCol w:w="764"/>
        <w:gridCol w:w="764"/>
        <w:gridCol w:w="973"/>
        <w:gridCol w:w="5879"/>
        <w:gridCol w:w="239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5977622,9</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372643,0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321331,0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5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77246,0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70695,0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12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228654,0</w:t>
            </w:r>
          </w:p>
        </w:tc>
      </w:tr>
      <w:tr>
        <w:trPr>
          <w:trHeight w:val="12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213193,0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29077,0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29077,0</w:t>
            </w:r>
          </w:p>
        </w:tc>
      </w:tr>
      <w:tr>
        <w:trPr>
          <w:trHeight w:val="16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22235,0</w:t>
            </w:r>
          </w:p>
        </w:tc>
      </w:tr>
      <w:tr>
        <w:trPr>
          <w:trHeight w:val="15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7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15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5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3733972,0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336342,0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336342,0</w:t>
            </w:r>
          </w:p>
        </w:tc>
      </w:tr>
      <w:tr>
        <w:trPr>
          <w:trHeight w:val="7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209828,0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209828,0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2604836,0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2601906,0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2560288,0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70296,0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2489992,0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41618,0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792794,0</w:t>
            </w:r>
          </w:p>
        </w:tc>
      </w:tr>
      <w:tr>
        <w:trPr>
          <w:trHeight w:val="7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324714,0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13017,0</w:t>
            </w:r>
          </w:p>
        </w:tc>
      </w:tr>
      <w:tr>
        <w:trPr>
          <w:trHeight w:val="12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4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7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260311,0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248020,0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468080,0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468080,0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268080,0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481788,0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446628,7</w:t>
            </w:r>
          </w:p>
        </w:tc>
      </w:tr>
      <w:tr>
        <w:trPr>
          <w:trHeight w:val="11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446628,7</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47782,0</w:t>
            </w:r>
          </w:p>
        </w:tc>
      </w:tr>
      <w:tr>
        <w:trPr>
          <w:trHeight w:val="7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87198,0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6337,7</w:t>
            </w:r>
          </w:p>
        </w:tc>
      </w:tr>
      <w:tr>
        <w:trPr>
          <w:trHeight w:val="7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w:t>
            </w:r>
          </w:p>
        </w:tc>
      </w:tr>
      <w:tr>
        <w:trPr>
          <w:trHeight w:val="8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67223,0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46254,0</w:t>
            </w:r>
          </w:p>
        </w:tc>
      </w:tr>
      <w:tr>
        <w:trPr>
          <w:trHeight w:val="5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90337,0</w:t>
            </w:r>
          </w:p>
        </w:tc>
      </w:tr>
      <w:tr>
        <w:trPr>
          <w:trHeight w:val="19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8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35159,3</w:t>
            </w:r>
          </w:p>
        </w:tc>
      </w:tr>
      <w:tr>
        <w:trPr>
          <w:trHeight w:val="11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35159,3</w:t>
            </w:r>
          </w:p>
        </w:tc>
      </w:tr>
      <w:tr>
        <w:trPr>
          <w:trHeight w:val="15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28931,0</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8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5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388597,0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мен жайластыруға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272850,0</w:t>
            </w:r>
          </w:p>
        </w:tc>
      </w:tr>
      <w:tr>
        <w:trPr>
          <w:trHeight w:val="9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268503,0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5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233105,0</w:t>
            </w:r>
          </w:p>
        </w:tc>
      </w:tr>
      <w:tr>
        <w:trPr>
          <w:trHeight w:val="9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33105,0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106034,0</w:t>
            </w:r>
          </w:p>
        </w:tc>
      </w:tr>
      <w:tr>
        <w:trPr>
          <w:trHeight w:val="11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18053,0</w:t>
            </w:r>
          </w:p>
        </w:tc>
      </w:tr>
      <w:tr>
        <w:trPr>
          <w:trHeight w:val="15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451455,6</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163110,6</w:t>
            </w:r>
          </w:p>
        </w:tc>
      </w:tr>
      <w:tr>
        <w:trPr>
          <w:trHeight w:val="8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161301,0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161301,0</w:t>
            </w:r>
          </w:p>
        </w:tc>
      </w:tr>
      <w:tr>
        <w:trPr>
          <w:trHeight w:val="8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173542,0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w:t>
            </w:r>
          </w:p>
        </w:tc>
      </w:tr>
      <w:tr>
        <w:trPr>
          <w:trHeight w:val="14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31778,0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23706,0</w:t>
            </w:r>
          </w:p>
        </w:tc>
      </w:tr>
      <w:tr>
        <w:trPr>
          <w:trHeight w:val="5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11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57515,0</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5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8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15458,0</w:t>
            </w:r>
          </w:p>
        </w:tc>
      </w:tr>
      <w:tr>
        <w:trPr>
          <w:trHeight w:val="14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11223,0</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w:t>
            </w:r>
          </w:p>
        </w:tc>
      </w:tr>
      <w:tr>
        <w:trPr>
          <w:trHeight w:val="8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w:t>
            </w:r>
          </w:p>
        </w:tc>
      </w:tr>
      <w:tr>
        <w:trPr>
          <w:trHeight w:val="12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5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12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183027,0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32563,0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30011,0</w:t>
            </w:r>
          </w:p>
        </w:tc>
      </w:tr>
      <w:tr>
        <w:trPr>
          <w:trHeight w:val="12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13413,0</w:t>
            </w:r>
          </w:p>
        </w:tc>
      </w:tr>
      <w:tr>
        <w:trPr>
          <w:trHeight w:val="10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2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35065,0</w:t>
            </w:r>
          </w:p>
        </w:tc>
      </w:tr>
      <w:tr>
        <w:trPr>
          <w:trHeight w:val="22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12163,0</w:t>
            </w:r>
          </w:p>
        </w:tc>
      </w:tr>
      <w:tr>
        <w:trPr>
          <w:trHeight w:val="15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217819,0</w:t>
            </w:r>
          </w:p>
        </w:tc>
      </w:tr>
      <w:tr>
        <w:trPr>
          <w:trHeight w:val="11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166082,0</w:t>
            </w:r>
          </w:p>
        </w:tc>
      </w:tr>
      <w:tr>
        <w:trPr>
          <w:trHeight w:val="11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93181,0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93181,0</w:t>
            </w:r>
          </w:p>
        </w:tc>
      </w:tr>
      <w:tr>
        <w:trPr>
          <w:trHeight w:val="15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51737,0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51737,0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92656,0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6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83126,0</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19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12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5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47296,0</w:t>
            </w:r>
          </w:p>
        </w:tc>
      </w:tr>
      <w:tr>
        <w:trPr>
          <w:trHeight w:val="15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11991,0</w:t>
            </w:r>
          </w:p>
        </w:tc>
      </w:tr>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30527,0</w:t>
            </w:r>
          </w:p>
        </w:tc>
      </w:tr>
      <w:tr>
        <w:trPr>
          <w:trHeight w:val="5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1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0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15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79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8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