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83b7" w14:textId="4668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Үржар аудандық мәслихатының 2012 жылғы 21 желтоқсандағы № 9-74/V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18 желтоқсандағы № 21-201/V шешімі. Шығыс Қазақстан облысының Әділет департаментінде 2013 жылғы 23 желтоқсанда № 3130 болып тіркелді. Шешімнің қабылдау мерзімінің өтуіне байланысты қолдану тоқтатылды (Үржар аудандық мәслихатының 2014 жылғы 08 қаңтардағы N 03-04/14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08.01.2014 N 03-04/14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2013 жылғы 04 желтоқсандағы № 16/185-V (Нормативтік құқықтық актілерді мемлекеттік тіркеу Тізілімінде 3111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кірістер - 5 535 959,4 мың теңге, соның ішінде:</w:t>
      </w:r>
      <w:r>
        <w:br/>
      </w:r>
      <w:r>
        <w:rPr>
          <w:rFonts w:ascii="Times New Roman"/>
          <w:b w:val="false"/>
          <w:i w:val="false"/>
          <w:color w:val="000000"/>
          <w:sz w:val="28"/>
        </w:rPr>
        <w:t>
      салықтық түсімдер – 805 696,0 мың теңге;</w:t>
      </w:r>
      <w:r>
        <w:br/>
      </w:r>
      <w:r>
        <w:rPr>
          <w:rFonts w:ascii="Times New Roman"/>
          <w:b w:val="false"/>
          <w:i w:val="false"/>
          <w:color w:val="000000"/>
          <w:sz w:val="28"/>
        </w:rPr>
        <w:t>
      салықтық емес түсімдер – 16 637,4 мың теңге;</w:t>
      </w:r>
      <w:r>
        <w:br/>
      </w:r>
      <w:r>
        <w:rPr>
          <w:rFonts w:ascii="Times New Roman"/>
          <w:b w:val="false"/>
          <w:i w:val="false"/>
          <w:color w:val="000000"/>
          <w:sz w:val="28"/>
        </w:rPr>
        <w:t>
      негізгі капиталды сатудан түсетін түсімдер – 19 000,0 мың теңге;</w:t>
      </w:r>
      <w:r>
        <w:br/>
      </w:r>
      <w:r>
        <w:rPr>
          <w:rFonts w:ascii="Times New Roman"/>
          <w:b w:val="false"/>
          <w:i w:val="false"/>
          <w:color w:val="000000"/>
          <w:sz w:val="28"/>
        </w:rPr>
        <w:t>
      трансферттердің түсімдері- 4 694 626,0 мың теңге;»;</w:t>
      </w:r>
      <w:r>
        <w:br/>
      </w:r>
      <w:r>
        <w:rPr>
          <w:rFonts w:ascii="Times New Roman"/>
          <w:b w:val="false"/>
          <w:i w:val="false"/>
          <w:color w:val="000000"/>
          <w:sz w:val="28"/>
        </w:rPr>
        <w:t>
      1-тармақтың 2) тармақшасы келесі редакцияда жазылсын:</w:t>
      </w:r>
      <w:r>
        <w:br/>
      </w:r>
      <w:r>
        <w:rPr>
          <w:rFonts w:ascii="Times New Roman"/>
          <w:b w:val="false"/>
          <w:i w:val="false"/>
          <w:color w:val="000000"/>
          <w:sz w:val="28"/>
        </w:rPr>
        <w:t>
      «2) шығындар - 5 628 293,5 мың теңге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Мұздыбаев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4"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 21-201/V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Үржар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74"/>
        <w:gridCol w:w="774"/>
        <w:gridCol w:w="8145"/>
        <w:gridCol w:w="235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5535959,4</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805696,0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16637,4</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0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3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4694626,0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4694626,0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782"/>
        <w:gridCol w:w="782"/>
        <w:gridCol w:w="7400"/>
        <w:gridCol w:w="240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5628293,5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447050,0</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399012,0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281716,0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268786,0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15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14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3603941,0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128430,0</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3029271,0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10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3024602,0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2967169,0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154330,0</w:t>
            </w:r>
          </w:p>
        </w:tc>
      </w:tr>
      <w:tr>
        <w:trPr>
          <w:trHeight w:val="9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340491,0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33364,0</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12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67902,0</w:t>
            </w:r>
          </w:p>
        </w:tc>
      </w:tr>
      <w:tr>
        <w:trPr>
          <w:trHeight w:val="15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15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127298,0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15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223108,0</w:t>
            </w:r>
          </w:p>
        </w:tc>
      </w:tr>
      <w:tr>
        <w:trPr>
          <w:trHeight w:val="12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170684,0</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184855,0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12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15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196236,0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183683,0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2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173803,0</w:t>
            </w:r>
          </w:p>
        </w:tc>
      </w:tr>
      <w:tr>
        <w:trPr>
          <w:trHeight w:val="16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15230,0</w:t>
            </w:r>
          </w:p>
        </w:tc>
      </w:tr>
      <w:tr>
        <w:trPr>
          <w:trHeight w:val="12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5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каржыландыру ( профицитті пайдалану)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