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fbed" w14:textId="d6ff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Қазақстан ауылдық округінің Атамекен, Молочная, Қалмақ шабын, Аяқ, Қисық сай елді мекендері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Қазақстан ауылдық округінің әкімінің 2013 жылғы 30 сәуірдегі № 4 шешімі. Батыс Қазақстан облысы Әділет департаментінде 2013 жылғы 17 мамырда № 3292 болып тіркелді. Күші жойылды - Батыс Қазақстан облысы Тасқала ауданы Қазақстан ауылдық округі әкімінің 2015 жылғы 25 желтоқсандағы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Тасқала ауданы Қазақстан ауылдық округі әкімінің 25.12.2015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 жаңа редакцияда - Қазақстан облысы Тасқала ауданы Қазақстан ауылдық округінің әкімінің 02.06.2014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"Қазақстан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мекемесінің бас мемлекеттік ветеринарлық-санитарлық инспекторының 2013 жылғы 28 наурыздағы № 89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 Қазақстан ауылдық округінің Атамекен, Молочная, Қалмақ шабын, Аяқ, Қисық сай елді мекендері аумағында мүйізді ірі қара малынан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 - Қазақстан облысы Тасқала ауданы Қазақстан ауылдық округінің әкімінің 02.06.2014 </w:t>
      </w:r>
      <w:r>
        <w:rPr>
          <w:rFonts w:ascii="Times New Roman"/>
          <w:b w:val="false"/>
          <w:i w:val="false"/>
          <w:color w:val="ff0000"/>
          <w:sz w:val="28"/>
        </w:rPr>
        <w:t>№ 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мекемесіне (келісім бойынша) осы шешімнен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Қазақстан ауылдық округі әкімі аппаратының бас маман – мал дәрігері Н. Естековке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 ресми жарияланған күннен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Киреев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КЕЛІСІЛДІ: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Ауыл шаруашылығы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Ветеринариялық бақылау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қадағалау комитетінің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Тасқала аудандық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инспекциясы"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мекемесінің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_____________Ғ.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Кенжешев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30.04.2013 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