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3edb" w14:textId="4483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16 қаңтардағы № 13 бұйрығы. Қазақстан Республикасының Әділет министрлігінде 2014 жылы 14 ақпанда № 9150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p>
    <w:bookmarkEnd w:id="1"/>
    <w:p>
      <w:pPr>
        <w:spacing w:after="0"/>
        <w:ind w:left="0"/>
        <w:jc w:val="both"/>
      </w:pPr>
      <w:r>
        <w:rPr>
          <w:rFonts w:ascii="Times New Roman"/>
          <w:b w:val="false"/>
          <w:i w:val="false"/>
          <w:color w:val="000000"/>
          <w:sz w:val="28"/>
        </w:rPr>
        <w:t xml:space="preserve">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16 қаңтардағы</w:t>
            </w:r>
            <w:r>
              <w:br/>
            </w:r>
            <w:r>
              <w:rPr>
                <w:rFonts w:ascii="Times New Roman"/>
                <w:b w:val="false"/>
                <w:i w:val="false"/>
                <w:color w:val="000000"/>
                <w:sz w:val="20"/>
              </w:rPr>
              <w:t>№ 13 бұйрығымен бекiтiлген</w:t>
            </w:r>
          </w:p>
        </w:tc>
      </w:tr>
    </w:tbl>
    <w:bookmarkStart w:name="z7" w:id="4"/>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сатудан түсетiн ақша өздерiнiң иелiгiнде қалатын мемлекеттiк</w:t>
      </w:r>
      <w:r>
        <w:br/>
      </w:r>
      <w:r>
        <w:rPr>
          <w:rFonts w:ascii="Times New Roman"/>
          <w:b/>
          <w:i w:val="false"/>
          <w:color w:val="000000"/>
        </w:rPr>
        <w:t>мекемелердiң тауарлары (жұмыстары, көрсетiлетiн қызметтерi)</w:t>
      </w:r>
      <w:r>
        <w:br/>
      </w:r>
      <w:r>
        <w:rPr>
          <w:rFonts w:ascii="Times New Roman"/>
          <w:b/>
          <w:i w:val="false"/>
          <w:color w:val="000000"/>
        </w:rPr>
        <w:t>тiзбесiнiң сыныптауышы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 / 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xml:space="preserve">
28) iссапар шығыстары (111, 112, 113, </w:t>
            </w:r>
          </w:p>
          <w:p>
            <w:pPr>
              <w:spacing w:after="20"/>
              <w:ind w:left="20"/>
              <w:jc w:val="both"/>
            </w:pPr>
            <w:r>
              <w:rPr>
                <w:rFonts w:ascii="Times New Roman"/>
                <w:b w:val="false"/>
                <w:i w:val="false"/>
                <w:color w:val="000000"/>
                <w:sz w:val="20"/>
              </w:rPr>
              <w:t>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xml:space="preserve">
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xml:space="preserve">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xml:space="preserve">
15) экологиялық насихатқа; </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xml:space="preserve">
6) балық шабақтарын өсiру; </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w:t>
            </w:r>
          </w:p>
          <w:p>
            <w:pPr>
              <w:spacing w:after="20"/>
              <w:ind w:left="20"/>
              <w:jc w:val="both"/>
            </w:pPr>
            <w:r>
              <w:rPr>
                <w:rFonts w:ascii="Times New Roman"/>
                <w:b w:val="false"/>
                <w:i w:val="false"/>
                <w:color w:val="000000"/>
                <w:sz w:val="20"/>
              </w:rPr>
              <w:t>
8) бұқаралық іс-шараларды өткізу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p>
          <w:p>
            <w:pPr>
              <w:spacing w:after="20"/>
              <w:ind w:left="20"/>
              <w:jc w:val="both"/>
            </w:pPr>
            <w:r>
              <w:rPr>
                <w:rFonts w:ascii="Times New Roman"/>
                <w:b w:val="false"/>
                <w:i w:val="false"/>
                <w:color w:val="000000"/>
                <w:sz w:val="20"/>
              </w:rPr>
              <w:t>
10) кiтапхана басылымдарын, дыбыс жазба көшiрiмдерiн, бейне фильмдердi, фонограммаларды өткiзу;</w:t>
            </w:r>
          </w:p>
          <w:p>
            <w:pPr>
              <w:spacing w:after="20"/>
              <w:ind w:left="20"/>
              <w:jc w:val="both"/>
            </w:pPr>
            <w:r>
              <w:rPr>
                <w:rFonts w:ascii="Times New Roman"/>
                <w:b w:val="false"/>
                <w:i w:val="false"/>
                <w:color w:val="000000"/>
                <w:sz w:val="20"/>
              </w:rPr>
              <w:t>
11) кiтаптарды, журналдарды жөндеу, қалпына келтiру және түптеу;</w:t>
            </w:r>
          </w:p>
          <w:p>
            <w:pPr>
              <w:spacing w:after="20"/>
              <w:ind w:left="20"/>
              <w:jc w:val="both"/>
            </w:pPr>
            <w:r>
              <w:rPr>
                <w:rFonts w:ascii="Times New Roman"/>
                <w:b w:val="false"/>
                <w:i w:val="false"/>
                <w:color w:val="000000"/>
                <w:sz w:val="20"/>
              </w:rPr>
              <w:t>
12) фото, кино бейне түсiру, жекелеген мақалалардың, кiтаптар мен мерзiмдi баспа басылымдарынан алынған материалдардың микрокөшiрмесiн алу;</w:t>
            </w:r>
          </w:p>
          <w:p>
            <w:pPr>
              <w:spacing w:after="20"/>
              <w:ind w:left="20"/>
              <w:jc w:val="both"/>
            </w:pP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РБЖБ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сорттарды сынақтан өткiзу станцияларында және мемлекеттiк мекемелер учаскелерiнде ауыл шаруашылығы жұмыстарын жүргiзу;</w:t>
            </w:r>
          </w:p>
          <w:p>
            <w:pPr>
              <w:spacing w:after="20"/>
              <w:ind w:left="20"/>
              <w:jc w:val="both"/>
            </w:pPr>
            <w:r>
              <w:rPr>
                <w:rFonts w:ascii="Times New Roman"/>
                <w:b w:val="false"/>
                <w:i w:val="false"/>
                <w:color w:val="000000"/>
                <w:sz w:val="20"/>
              </w:rPr>
              <w:t>
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p>
          <w:p>
            <w:pPr>
              <w:spacing w:after="20"/>
              <w:ind w:left="20"/>
              <w:jc w:val="both"/>
            </w:pPr>
            <w:r>
              <w:rPr>
                <w:rFonts w:ascii="Times New Roman"/>
                <w:b w:val="false"/>
                <w:i w:val="false"/>
                <w:color w:val="000000"/>
                <w:sz w:val="20"/>
              </w:rPr>
              <w:t>
3) ауыл шаруашылығы өсiмдiктерiнiң сорттарын сынақтан өткiзу саласында ғылыми зерттеулер жүргiзу;</w:t>
            </w:r>
          </w:p>
          <w:p>
            <w:pPr>
              <w:spacing w:after="20"/>
              <w:ind w:left="20"/>
              <w:jc w:val="both"/>
            </w:pPr>
            <w:r>
              <w:rPr>
                <w:rFonts w:ascii="Times New Roman"/>
                <w:b w:val="false"/>
                <w:i w:val="false"/>
                <w:color w:val="000000"/>
                <w:sz w:val="20"/>
              </w:rPr>
              <w:t>
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p>
          <w:p>
            <w:pPr>
              <w:spacing w:after="20"/>
              <w:ind w:left="20"/>
              <w:jc w:val="both"/>
            </w:pPr>
            <w:r>
              <w:rPr>
                <w:rFonts w:ascii="Times New Roman"/>
                <w:b w:val="false"/>
                <w:i w:val="false"/>
                <w:color w:val="000000"/>
                <w:sz w:val="20"/>
              </w:rPr>
              <w:t>
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p>
          <w:p>
            <w:pPr>
              <w:spacing w:after="20"/>
              <w:ind w:left="20"/>
              <w:jc w:val="both"/>
            </w:pPr>
            <w:r>
              <w:rPr>
                <w:rFonts w:ascii="Times New Roman"/>
                <w:b w:val="false"/>
                <w:i w:val="false"/>
                <w:color w:val="000000"/>
                <w:sz w:val="20"/>
              </w:rPr>
              <w:t xml:space="preserve">
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 </w:t>
            </w:r>
          </w:p>
          <w:p>
            <w:pPr>
              <w:spacing w:after="20"/>
              <w:ind w:left="20"/>
              <w:jc w:val="both"/>
            </w:pPr>
            <w:r>
              <w:rPr>
                <w:rFonts w:ascii="Times New Roman"/>
                <w:b w:val="false"/>
                <w:i w:val="false"/>
                <w:color w:val="000000"/>
                <w:sz w:val="20"/>
              </w:rPr>
              <w:t>
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p>
          <w:p>
            <w:pPr>
              <w:spacing w:after="20"/>
              <w:ind w:left="20"/>
              <w:jc w:val="both"/>
            </w:pPr>
            <w:r>
              <w:rPr>
                <w:rFonts w:ascii="Times New Roman"/>
                <w:b w:val="false"/>
                <w:i w:val="false"/>
                <w:color w:val="000000"/>
                <w:sz w:val="20"/>
              </w:rPr>
              <w:t>
8) мемлекеттік мекемелердің ғылыми, әдістемелік материалдарын және ресми бюллетендерін шығару;</w:t>
            </w:r>
          </w:p>
          <w:p>
            <w:pPr>
              <w:spacing w:after="20"/>
              <w:ind w:left="20"/>
              <w:jc w:val="both"/>
            </w:pPr>
            <w:r>
              <w:rPr>
                <w:rFonts w:ascii="Times New Roman"/>
                <w:b w:val="false"/>
                <w:i w:val="false"/>
                <w:color w:val="000000"/>
                <w:sz w:val="20"/>
              </w:rPr>
              <w:t>
9) мемлекеттік мекемелердің мамандарын даярлауға және олардың біліктілігін арттыру;</w:t>
            </w:r>
          </w:p>
          <w:p>
            <w:pPr>
              <w:spacing w:after="20"/>
              <w:ind w:left="20"/>
              <w:jc w:val="both"/>
            </w:pPr>
            <w:r>
              <w:rPr>
                <w:rFonts w:ascii="Times New Roman"/>
                <w:b w:val="false"/>
                <w:i w:val="false"/>
                <w:color w:val="000000"/>
                <w:sz w:val="20"/>
              </w:rPr>
              <w:t>
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p>
          <w:p>
            <w:pPr>
              <w:spacing w:after="20"/>
              <w:ind w:left="20"/>
              <w:jc w:val="both"/>
            </w:pPr>
            <w:r>
              <w:rPr>
                <w:rFonts w:ascii="Times New Roman"/>
                <w:b w:val="false"/>
                <w:i w:val="false"/>
                <w:color w:val="000000"/>
                <w:sz w:val="20"/>
              </w:rPr>
              <w:t>
11) мемлекеттiк мекемелер үшiн шетел хат-хабары мен ғылыми құжаттама аудармашыларының қызметiн сатып алу;</w:t>
            </w:r>
          </w:p>
          <w:p>
            <w:pPr>
              <w:spacing w:after="20"/>
              <w:ind w:left="20"/>
              <w:jc w:val="both"/>
            </w:pPr>
            <w:r>
              <w:rPr>
                <w:rFonts w:ascii="Times New Roman"/>
                <w:b w:val="false"/>
                <w:i w:val="false"/>
                <w:color w:val="000000"/>
                <w:sz w:val="20"/>
              </w:rPr>
              <w:t>
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w:t>
            </w:r>
          </w:p>
          <w:p>
            <w:pPr>
              <w:spacing w:after="20"/>
              <w:ind w:left="20"/>
              <w:jc w:val="both"/>
            </w:pP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 (112, 121, 122, 123,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саласында мамандандырылатын Қарулы Күштердiң мемлекеттiк мекемелерi ұсынатын қызметтерi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1 қаңтардан бастап қолданысқа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