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d696" w14:textId="c51d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15 қаңтарда № 11 бұйрығы. Қазақстан Республикасының Әділет министрлігінде 2014 жылы 15 ақпанда № 9164 тіркелді.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6103 болып тіркелген және Қазақстан Республикасының нормативтік құқықтық актілер бюллетенінде жарияланған, 2010 жылғы сәуір, № 4)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«Көлік құралдарының жекелеген түрлерін басқару құқығына емтихандарға адамдарды жіберу, оларды тапсыру және куәліктер беру ережесін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«Көлік құралдарының жекелеген түрлерін басқару құқығына емтихандарға адамдарды жіберу, оларды тапсыру және куәліктер беру ережесі осы бұйрыққа 2-қосымшаға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құралдарының жекелеген түрлерін басқару құқығына емтихандарға адамдарды жіберу және куәліктер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 Көлік құралдарының жекелеген түрлерін басқару құқығына емтихандарға адамдарды жіберу, оларды тапсыру және куәліктер беру ережесі (бұдан әрі – Ереже) Қазақстан Республикасының азаматтарын, шетелдік азаматтар мен азаматтығы жоқ адамдарды емтихандарға жіберу, оларды тапсыру және көлік құралдарын басқару құқығына жүргізуші куәліктерін беру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Көлік құралдарын басқару құқығын алу үшін емтихандар өткізу және тапсыру тәртібі»;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0"/>
    <w:bookmarkStart w:name="z8" w:id="1"/>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1-қосымша</w:t>
      </w:r>
    </w:p>
    <w:bookmarkEnd w:id="1"/>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Көлік құралдарының жекелеген түрлерін басқару құқығына емтихандарға адамдарды жіберу, оларды тапсыру және куәліктер беру ережесіне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3-қосымшаның</w:t>
      </w:r>
      <w:r>
        <w:rPr>
          <w:rFonts w:ascii="Times New Roman"/>
          <w:b w:val="false"/>
          <w:i w:val="false"/>
          <w:color w:val="000000"/>
          <w:sz w:val="28"/>
        </w:rPr>
        <w:t xml:space="preserve"> жоғарғы оң бұрышы мынадай редакцияда жазылсын:</w:t>
      </w:r>
    </w:p>
    <w:bookmarkEnd w:id="2"/>
    <w:p>
      <w:pPr>
        <w:spacing w:after="0"/>
        <w:ind w:left="0"/>
        <w:jc w:val="both"/>
      </w:pP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3-қосымша</w:t>
      </w:r>
    </w:p>
    <w:bookmarkEnd w:id="3"/>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Ережеге </w:t>
      </w:r>
      <w:r>
        <w:rPr>
          <w:rFonts w:ascii="Times New Roman"/>
          <w:b w:val="false"/>
          <w:i w:val="false"/>
          <w:color w:val="000000"/>
          <w:sz w:val="28"/>
        </w:rPr>
        <w:t>4-қосымшаның</w:t>
      </w:r>
      <w:r>
        <w:rPr>
          <w:rFonts w:ascii="Times New Roman"/>
          <w:b w:val="false"/>
          <w:i w:val="false"/>
          <w:color w:val="000000"/>
          <w:sz w:val="28"/>
        </w:rPr>
        <w:t xml:space="preserve"> жоғарғы оң бұрышы мынадай редакцияда жазылсын:</w:t>
      </w:r>
    </w:p>
    <w:bookmarkEnd w:id="4"/>
    <w:p>
      <w:pPr>
        <w:spacing w:after="0"/>
        <w:ind w:left="0"/>
        <w:jc w:val="both"/>
      </w:pP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4-қосымша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5-қосымшаның</w:t>
      </w:r>
      <w:r>
        <w:rPr>
          <w:rFonts w:ascii="Times New Roman"/>
          <w:b w:val="false"/>
          <w:i w:val="false"/>
          <w:color w:val="000000"/>
          <w:sz w:val="28"/>
        </w:rPr>
        <w:t xml:space="preserve"> жоғарғы оң бұрышы мынадай редакцияда жазылсын:</w:t>
      </w:r>
    </w:p>
    <w:bookmarkEnd w:id="5"/>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5-қосымша</w:t>
      </w:r>
    </w:p>
    <w:bookmarkEnd w:id="6"/>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Ережеге </w:t>
      </w:r>
      <w:r>
        <w:rPr>
          <w:rFonts w:ascii="Times New Roman"/>
          <w:b w:val="false"/>
          <w:i w:val="false"/>
          <w:color w:val="000000"/>
          <w:sz w:val="28"/>
        </w:rPr>
        <w:t>6-қосымшаның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7"/>
    <w:bookmarkStart w:name="z17" w:id="8"/>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6-қосымша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7-қосымшаның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8"/>
    <w:bookmarkStart w:name="z19" w:id="9"/>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7-қосымша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8-қосымшаның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9"/>
    <w:bookmarkStart w:name="z21" w:id="10"/>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8-қосымша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9-қосымшаның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10"/>
    <w:bookmarkStart w:name="z23" w:id="11"/>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түрлерін басқару құқығына</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беру ережесіне 9-қосымша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 және оны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күнтiзбелiк он күн өткен соң қолданысқа енгiзiледi.</w:t>
      </w:r>
    </w:p>
    <w:bookmarkEnd w:id="1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