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688c" w14:textId="5f4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валютасының шетел валюталарына қатысты ресми бағамын белгілеу қағидаларын бекіту туралы" 2012 жылғы 24 тамыздағы № 242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16 шілдедегі № 141 қаулысы. Қазақстан Республикасының Әділет министрлігінде 2014 жылы 28 тамызда № 9706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Банкінің Қазақстан Республикасы ұлттық валютасының шетел валюталарына қатысты ресми бағамын белгілеу тәртібін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валютасының шетел валюталарына қатысты ресми бағамын белгілеу қағидаларын бекіту туралы» 2012 жылғы 24 тамыздағы № 242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7977 тіркелген, «Егемен Қазақстан» газетінде 2012 жылы 27 желтоқсандағы № 852-856 (27927)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валютасының шетел валюталарына қатысты ресми бағамын белгілеу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уәкілетті бөлімше – Ұлттық Банктің монетарлық операциялар және активтерді басқару бөлімшесі;»;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Келімбетов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валютасының шетел валюталарына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ресми бағамын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 шетел валюталарының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валютасына қатысты 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ресми бағамдары туралы хабарлайды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68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 доллары (AUD)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манаты (AZN)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 драмы (AMD)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рублі (BYR)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реалы (BRL)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 форинті (HUF)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Республикасының вонасы (KRW)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доллары (HKD)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 лариі (GEL)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 кронасы (DKK)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БАӘ дирхамы (AED)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 (USD)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 (EUR)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 рупиясы (INR)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риалы (IRR)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 доллары (CAD)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юані (CNY)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сомы (KGS)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 динары (KWD)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 литі (LTL)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 ринггиті (MYR)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 песосы (MXN)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леясы (MDL)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кронасы (NOK)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 злотыйы (PLN)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рублі (RUB)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 Арабиясының риалы (SAR)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СДР (XDR)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Cингапур доллары (SGD)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 сомониі (TJS)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Тайланд баты (THB)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лирасы (TRY)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сумы (UZS)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гривнасы (UAH)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Корольдіктің Фунт стерлингі (GBP)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кронасы (CZK)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кронасы (SEK)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франкі (CHF)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рэнді (ZAR)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йенасы (JPY)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құжатқа қол қойылған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басшылығы ________________ Тегі және инициалдары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