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1d83" w14:textId="dfd1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26 мамырдағы № А-5/219 қаулысы. Ақмола облысының Әділет департаментінде 2014 жылғы 4 шілдеде № 4256 болып тіркелді. Күші жойылды - Ақмола облысы әкімдігінің 2015 жылғы 26 маусымдағы № А-7/298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26.06.2015 </w:t>
      </w:r>
      <w:r>
        <w:rPr>
          <w:rFonts w:ascii="Times New Roman"/>
          <w:b w:val="false"/>
          <w:i w:val="false"/>
          <w:color w:val="ff0000"/>
          <w:sz w:val="28"/>
        </w:rPr>
        <w:t>№ А-7/298</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7"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А-5/219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(бұдан әрі – мемлекеттік көрсетілетін қызмет) жатақханасы бар техникалық және кәсіптік білім беру ұйымдарымен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техникалық және кәсіптік білім беру ұйымдарында білім алушыларға жатақхана беру туралы жолдама (бұдан әрі – жолдама).</w:t>
      </w:r>
    </w:p>
    <w:bookmarkEnd w:id="4"/>
    <w:bookmarkStart w:name="z13" w:id="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5"/>
    <w:bookmarkStart w:name="z14" w:id="6"/>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Үкіметінің 2014 жылғы 30 сәуірдегі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рәсімдеудің (әрекеттің) мазмұны, оны орындаудың ұзақтылығы: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 Нәтижесі – тіркеу, сондай-ақ оны басшылыққа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15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жолдаманы дайындайды – 9 жұмыс күні. Нәтижесі – жолдаманы дайындау;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хат-хабармен танысады – 1 жұмыс күні. Нәтижесі – жолдамаға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көрсетілетін қызметті алушыға жолдаманы береді – 15 минут. Нәтижесі – көрсетілетін қызметті алушының мемлекеттік қызмет көрсету жөніндегі журналға қол қоюы.</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7"/>
    <w:bookmarkStart w:name="z22" w:id="8"/>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ұзақтылығын көрсете отырып, құрылымдық бөлімшелер (қызметшілер) арасында рәсімдердің (іс-қимылдың) кезеңділігін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қояды, құжаттарды жауапты орындаушыға жолдайды - 15 минут;</w:t>
      </w:r>
      <w:r>
        <w:br/>
      </w:r>
      <w:r>
        <w:rPr>
          <w:rFonts w:ascii="Times New Roman"/>
          <w:b w:val="false"/>
          <w:i w:val="false"/>
          <w:color w:val="000000"/>
          <w:sz w:val="28"/>
        </w:rPr>
        <w:t>
</w:t>
      </w:r>
      <w:r>
        <w:rPr>
          <w:rFonts w:ascii="Times New Roman"/>
          <w:b w:val="false"/>
          <w:i w:val="false"/>
          <w:color w:val="000000"/>
          <w:sz w:val="28"/>
        </w:rPr>
        <w:t>
      3) жауапты орындаушы жолдаманы дайындайды және басшылыққа береді – 9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жолдамаға қол қояды – 1 жұмыс күні.</w:t>
      </w:r>
      <w:r>
        <w:br/>
      </w:r>
      <w:r>
        <w:rPr>
          <w:rFonts w:ascii="Times New Roman"/>
          <w:b w:val="false"/>
          <w:i w:val="false"/>
          <w:color w:val="000000"/>
          <w:sz w:val="28"/>
        </w:rPr>
        <w:t>
</w:t>
      </w:r>
      <w:r>
        <w:rPr>
          <w:rFonts w:ascii="Times New Roman"/>
          <w:b w:val="false"/>
          <w:i w:val="false"/>
          <w:color w:val="000000"/>
          <w:sz w:val="28"/>
        </w:rPr>
        <w:t>
      8. Рәсімдердің (іс-қимылдың) кезеңділігін сипаттау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блок-схемамен және бизнес-процестерінің анықтамасымен сүйемелденеді.</w:t>
      </w:r>
    </w:p>
    <w:bookmarkEnd w:id="8"/>
    <w:bookmarkStart w:name="z32" w:id="9"/>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xml:space="preserve">
ұйымдарында білім алушыларға    </w:t>
      </w:r>
      <w:r>
        <w:br/>
      </w:r>
      <w:r>
        <w:rPr>
          <w:rFonts w:ascii="Times New Roman"/>
          <w:b w:val="false"/>
          <w:i w:val="false"/>
          <w:color w:val="000000"/>
          <w:sz w:val="28"/>
        </w:rPr>
        <w:t xml:space="preserve">
жатақхана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1-қосымша      </w:t>
      </w:r>
    </w:p>
    <w:bookmarkEnd w:id="9"/>
    <w:bookmarkStart w:name="z33" w:id="10"/>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блок-схемасы</w:t>
      </w:r>
    </w:p>
    <w:bookmarkEnd w:id="10"/>
    <w:p>
      <w:pPr>
        <w:spacing w:after="0"/>
        <w:ind w:left="0"/>
        <w:jc w:val="both"/>
      </w:pPr>
      <w:r>
        <w:drawing>
          <wp:inline distT="0" distB="0" distL="0" distR="0">
            <wp:extent cx="7937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6502400"/>
                    </a:xfrm>
                    <a:prstGeom prst="rect">
                      <a:avLst/>
                    </a:prstGeom>
                  </pic:spPr>
                </pic:pic>
              </a:graphicData>
            </a:graphic>
          </wp:inline>
        </w:drawing>
      </w:r>
    </w:p>
    <w:bookmarkStart w:name="z34" w:id="11"/>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xml:space="preserve">
ұйымдарында білім алушыларға    </w:t>
      </w:r>
      <w:r>
        <w:br/>
      </w:r>
      <w:r>
        <w:rPr>
          <w:rFonts w:ascii="Times New Roman"/>
          <w:b w:val="false"/>
          <w:i w:val="false"/>
          <w:color w:val="000000"/>
          <w:sz w:val="28"/>
        </w:rPr>
        <w:t xml:space="preserve">
жатақхана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2-қосымша      </w:t>
      </w:r>
    </w:p>
    <w:bookmarkEnd w:id="11"/>
    <w:bookmarkStart w:name="z35" w:id="12"/>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қызмет көрсетудің бизнес-процестерінің анықтамалығы</w:t>
      </w:r>
    </w:p>
    <w:bookmarkEnd w:id="12"/>
    <w:p>
      <w:pPr>
        <w:spacing w:after="0"/>
        <w:ind w:left="0"/>
        <w:jc w:val="both"/>
      </w:pPr>
      <w:r>
        <w:drawing>
          <wp:inline distT="0" distB="0" distL="0" distR="0">
            <wp:extent cx="85471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47100" cy="64643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сөздің мағынасы:</w:t>
      </w:r>
      <w:r>
        <w:br/>
      </w:r>
      <w:r>
        <w:rPr>
          <w:rFonts w:ascii="Times New Roman"/>
          <w:b w:val="false"/>
          <w:i w:val="false"/>
          <w:color w:val="000000"/>
          <w:sz w:val="28"/>
        </w:rPr>
        <w:t>
ҚФБ – құрылымдық-функционалдық бірлік.</w:t>
      </w:r>
    </w:p>
    <w:bookmarkStart w:name="z36" w:id="1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А-5/219 қаулысымен  </w:t>
      </w:r>
      <w:r>
        <w:br/>
      </w:r>
      <w:r>
        <w:rPr>
          <w:rFonts w:ascii="Times New Roman"/>
          <w:b w:val="false"/>
          <w:i w:val="false"/>
          <w:color w:val="000000"/>
          <w:sz w:val="28"/>
        </w:rPr>
        <w:t xml:space="preserve">
бекітілді       </w:t>
      </w:r>
    </w:p>
    <w:bookmarkEnd w:id="13"/>
    <w:bookmarkStart w:name="z37" w:id="14"/>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14"/>
    <w:bookmarkStart w:name="z38" w:id="15"/>
    <w:p>
      <w:pPr>
        <w:spacing w:after="0"/>
        <w:ind w:left="0"/>
        <w:jc w:val="left"/>
      </w:pPr>
      <w:r>
        <w:rPr>
          <w:rFonts w:ascii="Times New Roman"/>
          <w:b/>
          <w:i w:val="false"/>
          <w:color w:val="000000"/>
        </w:rPr>
        <w:t xml:space="preserve"> 
1. Жалпы ережелер</w:t>
      </w:r>
    </w:p>
    <w:bookmarkEnd w:id="15"/>
    <w:bookmarkStart w:name="z39" w:id="16"/>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 (бұдан әрі – мемлекеттік көрсетілетін қызмет) Ақмола облысының техникалық және кәсіптік білім беретін ұйымдарымен (бұдан әрі – көрсетілетін қызметті беруші) немесе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туралы құжаттардың телнұсқаларын беру (бұдан әрі – телнұсқасы) немесе қызмет көрсетуден бас тарту туралы қағаз тасығыштағы дәлелді жауап (бұдан әрі – бас тарту), мемлекеттік қызмет көрсетудің нәтижесі болып табылады.</w:t>
      </w:r>
    </w:p>
    <w:bookmarkEnd w:id="16"/>
    <w:bookmarkStart w:name="z4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17"/>
    <w:bookmarkStart w:name="z43" w:id="18"/>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Үкіметінің 2014 жылғы 30 сәуірдегі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қажет.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 Нәтижесі – құжаттарды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15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толықтылығын тексеруді жүзеге асырады – 28 күнтізбелік күн. Нәтижесі – телнұсқаны дайындау немесе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хат-хабармен танысады – 2 күнтізбелік күн. Нәтижесі – телнұсқаға қол қою немесе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көрсетілетін қызметті алушыға телнұсқаны немесе мемлекеттік қызметті көрсетуден бас тарту туралы дәлелді жауапты береді – 15 минут. Нәтижесі – көрсетілетін қызметті алушының мемлекеттік қызмет көрсету жөніндегі журналға қол қоюы.</w:t>
      </w:r>
    </w:p>
    <w:bookmarkEnd w:id="18"/>
    <w:bookmarkStart w:name="z50"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19"/>
    <w:bookmarkStart w:name="z51" w:id="20"/>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 қимылдың) кезеңділігін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бұрыштаманы қойып, құжаттарды жауапты орындаушыға жолдайды - 15 минут;</w:t>
      </w:r>
      <w:r>
        <w:br/>
      </w:r>
      <w:r>
        <w:rPr>
          <w:rFonts w:ascii="Times New Roman"/>
          <w:b w:val="false"/>
          <w:i w:val="false"/>
          <w:color w:val="000000"/>
          <w:sz w:val="28"/>
        </w:rPr>
        <w:t>
</w:t>
      </w:r>
      <w:r>
        <w:rPr>
          <w:rFonts w:ascii="Times New Roman"/>
          <w:b w:val="false"/>
          <w:i w:val="false"/>
          <w:color w:val="000000"/>
          <w:sz w:val="28"/>
        </w:rPr>
        <w:t>
      3) жауапты орындаушы материалдарымен қоса құжаттарды басшылыққа береді – 28 күнтізбелік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құжатқа немесе мемлекеттік қызмет көрсетуден бас тарту туралы дәлелді жауапқа қол қояды – 2 күнтізбелік күн.</w:t>
      </w:r>
      <w:r>
        <w:br/>
      </w:r>
      <w:r>
        <w:rPr>
          <w:rFonts w:ascii="Times New Roman"/>
          <w:b w:val="false"/>
          <w:i w:val="false"/>
          <w:color w:val="000000"/>
          <w:sz w:val="28"/>
        </w:rPr>
        <w:t>
</w:t>
      </w:r>
      <w:r>
        <w:rPr>
          <w:rFonts w:ascii="Times New Roman"/>
          <w:b w:val="false"/>
          <w:i w:val="false"/>
          <w:color w:val="000000"/>
          <w:sz w:val="28"/>
        </w:rPr>
        <w:t>
      8. Рәсімдердің (іс-қимылдың) кезеңділігін сипаттау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блок-схемамен және бизнес-процестерінің анықтамасымен сүйемелденеді.</w:t>
      </w:r>
    </w:p>
    <w:bookmarkEnd w:id="20"/>
    <w:bookmarkStart w:name="z61" w:id="21"/>
    <w:p>
      <w:pPr>
        <w:spacing w:after="0"/>
        <w:ind w:left="0"/>
        <w:jc w:val="left"/>
      </w:pPr>
      <w:r>
        <w:rPr>
          <w:rFonts w:ascii="Times New Roman"/>
          <w:b/>
          <w:i w:val="false"/>
          <w:color w:val="000000"/>
        </w:rPr>
        <w:t xml:space="preserve"> 
4. Орталықпен және (немесе) өзге де көрсетілетін қызметті берушілермен өзара әрекет ету тәртібін, сондай-ақ мемлекеттік қызметті көрсету процесінде ақпараттық жүйелерді пайдалану тәртібін сипаттау</w:t>
      </w:r>
    </w:p>
    <w:bookmarkEnd w:id="21"/>
    <w:bookmarkStart w:name="z62" w:id="22"/>
    <w:p>
      <w:pPr>
        <w:spacing w:after="0"/>
        <w:ind w:left="0"/>
        <w:jc w:val="both"/>
      </w:pPr>
      <w:r>
        <w:rPr>
          <w:rFonts w:ascii="Times New Roman"/>
          <w:b w:val="false"/>
          <w:i w:val="false"/>
          <w:color w:val="000000"/>
          <w:sz w:val="28"/>
        </w:rPr>
        <w:t>
      9.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Орталыққа ұсынады.</w:t>
      </w:r>
      <w:r>
        <w:br/>
      </w:r>
      <w:r>
        <w:rPr>
          <w:rFonts w:ascii="Times New Roman"/>
          <w:b w:val="false"/>
          <w:i w:val="false"/>
          <w:color w:val="000000"/>
          <w:sz w:val="28"/>
        </w:rPr>
        <w:t>
      Көрсетілетін қызметті алушының мемлекеттік электрондық ақпараттық ресурстары болып табылатын, тұлғасын куәландыратын құжаттардың мәліметін орталықтың қызметшісі тиісті мемлекеттік ақпараттық жүйелердің көмегімен электрондық-цифрлық қолтаңбасымен қол қойылған электрондық деректер түрінде алады.</w:t>
      </w:r>
      <w:r>
        <w:br/>
      </w:r>
      <w:r>
        <w:rPr>
          <w:rFonts w:ascii="Times New Roman"/>
          <w:b w:val="false"/>
          <w:i w:val="false"/>
          <w:color w:val="000000"/>
          <w:sz w:val="28"/>
        </w:rPr>
        <w:t>
      Орталықтың қызметшісі құжаттар түпнұсқаларының төлтумалығын мемлекеттік органдардың мемлекеттік ақпараттық жүйелерінен ұсынылған мәліметтермен салыстырады, содан кейін түпнұсқаларды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қызметті алушыға тиісті құжаттарды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рәсімдеуге қабылдаған Орталық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мақсатында, Орталық көрсетілетін қызметті берушіге сұраныс жолдайды.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нәтижесін (немесе бас тарту туралы хабарламаны) беру «терезелер» арқылы Орталыққа жеке өтініш білдірген кезде беріледі.</w:t>
      </w:r>
      <w:r>
        <w:br/>
      </w:r>
      <w:r>
        <w:rPr>
          <w:rFonts w:ascii="Times New Roman"/>
          <w:b w:val="false"/>
          <w:i w:val="false"/>
          <w:color w:val="000000"/>
          <w:sz w:val="28"/>
        </w:rPr>
        <w:t>
</w:t>
      </w:r>
      <w:r>
        <w:rPr>
          <w:rFonts w:ascii="Times New Roman"/>
          <w:b w:val="false"/>
          <w:i w:val="false"/>
          <w:color w:val="000000"/>
          <w:sz w:val="28"/>
        </w:rPr>
        <w:t>
      13. Рәсім (іс-қимыл) кезеңділігінің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блок-схемамен және бизнес-процестерінің анықтамасымен сүйемелденеді.</w:t>
      </w:r>
    </w:p>
    <w:bookmarkEnd w:id="22"/>
    <w:bookmarkStart w:name="z67" w:id="23"/>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End w:id="23"/>
    <w:bookmarkStart w:name="z68" w:id="24"/>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блок-схемасы</w:t>
      </w:r>
    </w:p>
    <w:bookmarkEnd w:id="24"/>
    <w:p>
      <w:pPr>
        <w:spacing w:after="0"/>
        <w:ind w:left="0"/>
        <w:jc w:val="both"/>
      </w:pPr>
      <w:r>
        <w:drawing>
          <wp:inline distT="0" distB="0" distL="0" distR="0">
            <wp:extent cx="78486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48600" cy="6654800"/>
                    </a:xfrm>
                    <a:prstGeom prst="rect">
                      <a:avLst/>
                    </a:prstGeom>
                  </pic:spPr>
                </pic:pic>
              </a:graphicData>
            </a:graphic>
          </wp:inline>
        </w:drawing>
      </w:r>
    </w:p>
    <w:bookmarkStart w:name="z69" w:id="25"/>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End w:id="25"/>
    <w:bookmarkStart w:name="z70" w:id="26"/>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және кәсіптік білім туралы құжаттардың телнұсқаларын беру»</w:t>
      </w:r>
    </w:p>
    <w:bookmarkEnd w:id="26"/>
    <w:p>
      <w:pPr>
        <w:spacing w:after="0"/>
        <w:ind w:left="0"/>
        <w:jc w:val="both"/>
      </w:pPr>
      <w:r>
        <w:drawing>
          <wp:inline distT="0" distB="0" distL="0" distR="0">
            <wp:extent cx="8445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45500" cy="66421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сөздің мағынасы:</w:t>
      </w:r>
      <w:r>
        <w:br/>
      </w:r>
      <w:r>
        <w:rPr>
          <w:rFonts w:ascii="Times New Roman"/>
          <w:b w:val="false"/>
          <w:i w:val="false"/>
          <w:color w:val="000000"/>
          <w:sz w:val="28"/>
        </w:rPr>
        <w:t>
ҚФБ – құрылымдық-функционалдық бірлік.</w:t>
      </w:r>
    </w:p>
    <w:bookmarkStart w:name="z71" w:id="27"/>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3-қосымша      </w:t>
      </w:r>
    </w:p>
    <w:bookmarkEnd w:id="27"/>
    <w:bookmarkStart w:name="z72" w:id="28"/>
    <w:p>
      <w:pPr>
        <w:spacing w:after="0"/>
        <w:ind w:left="0"/>
        <w:jc w:val="left"/>
      </w:pPr>
      <w:r>
        <w:rPr>
          <w:rFonts w:ascii="Times New Roman"/>
          <w:b/>
          <w:i w:val="false"/>
          <w:color w:val="000000"/>
        </w:rPr>
        <w:t xml:space="preserve"> 
Әр рәсімнің (әрекеттің) ұзақтығын көрсетумен құрылымдық бөлімшелер (қызметкерлері) арасында рәсімнің (әрекеттің) жүйелілігінің блок-схемасы</w:t>
      </w:r>
    </w:p>
    <w:bookmarkEnd w:id="28"/>
    <w:p>
      <w:pPr>
        <w:spacing w:after="0"/>
        <w:ind w:left="0"/>
        <w:jc w:val="both"/>
      </w:pPr>
      <w:r>
        <w:drawing>
          <wp:inline distT="0" distB="0" distL="0" distR="0">
            <wp:extent cx="95758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75800" cy="5778500"/>
                    </a:xfrm>
                    <a:prstGeom prst="rect">
                      <a:avLst/>
                    </a:prstGeom>
                  </pic:spPr>
                </pic:pic>
              </a:graphicData>
            </a:graphic>
          </wp:inline>
        </w:drawing>
      </w:r>
    </w:p>
    <w:bookmarkStart w:name="z73" w:id="29"/>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4-қосымша       </w:t>
      </w:r>
    </w:p>
    <w:bookmarkEnd w:id="29"/>
    <w:bookmarkStart w:name="z74" w:id="30"/>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және кәсіптік білім туралы құжаттардың телнұсқаларын беру»</w:t>
      </w:r>
    </w:p>
    <w:bookmarkEnd w:id="30"/>
    <w:p>
      <w:pPr>
        <w:spacing w:after="0"/>
        <w:ind w:left="0"/>
        <w:jc w:val="both"/>
      </w:pPr>
      <w:r>
        <w:drawing>
          <wp:inline distT="0" distB="0" distL="0" distR="0">
            <wp:extent cx="116078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07800" cy="5791200"/>
                    </a:xfrm>
                    <a:prstGeom prst="rect">
                      <a:avLst/>
                    </a:prstGeom>
                  </pic:spPr>
                </pic:pic>
              </a:graphicData>
            </a:graphic>
          </wp:inline>
        </w:drawing>
      </w:r>
    </w:p>
    <w:p>
      <w:pPr>
        <w:spacing w:after="0"/>
        <w:ind w:left="0"/>
        <w:jc w:val="both"/>
      </w:pPr>
      <w:r>
        <w:rPr>
          <w:rFonts w:ascii="Times New Roman"/>
          <w:b w:val="false"/>
          <w:i w:val="false"/>
          <w:color w:val="000000"/>
          <w:sz w:val="28"/>
        </w:rPr>
        <w:t>Қысқартылған сөздің мағынасы:</w:t>
      </w:r>
      <w:r>
        <w:br/>
      </w:r>
      <w:r>
        <w:rPr>
          <w:rFonts w:ascii="Times New Roman"/>
          <w:b w:val="false"/>
          <w:i w:val="false"/>
          <w:color w:val="000000"/>
          <w:sz w:val="28"/>
        </w:rPr>
        <w:t>
ҚФБ – құрылымдық-функционалдық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