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a788" w14:textId="339a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жұмсаған шығындарды өтеу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14 қарашадағы № С 41-2 шешімі. Ақмола облысының Әділет департаментінде 2014 жылғы 5 желтоқсанда № 4495 болып тіркелді. Күші жойылды - Ақмола облысы Ақкөл аудандық мәслихатының 2017 жылғы 28 наурыздағы № С 10-3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28.03.2017 </w:t>
      </w:r>
      <w:r>
        <w:rPr>
          <w:rFonts w:ascii="Times New Roman"/>
          <w:b w:val="false"/>
          <w:i w:val="false"/>
          <w:color w:val="ff0000"/>
          <w:sz w:val="28"/>
        </w:rPr>
        <w:t>№ С 10-3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2002 жылғы 11 шілдедегі </w:t>
      </w:r>
      <w:r>
        <w:rPr>
          <w:rFonts w:ascii="Times New Roman"/>
          <w:b w:val="false"/>
          <w:i w:val="false"/>
          <w:color w:val="000000"/>
          <w:sz w:val="28"/>
        </w:rPr>
        <w:t>"Кемтар балаларды</w:t>
      </w:r>
      <w:r>
        <w:rPr>
          <w:rFonts w:ascii="Times New Roman"/>
          <w:b w:val="false"/>
          <w:i w:val="false"/>
          <w:color w:val="000000"/>
          <w:sz w:val="28"/>
        </w:rPr>
        <w:t xml:space="preserve"> әлеуметтiк және медициналық-педагогикалық түзеу арқылы қолдау туралы" Заңдарына сәйкес, Ақкөл ауданы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 белгіленсін:</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әр балаға ай сайын үш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мәслихаттың</w:t>
            </w:r>
            <w:r>
              <w:br/>
            </w:r>
            <w:r>
              <w:rPr>
                <w:rFonts w:ascii="Times New Roman"/>
                <w:b w:val="false"/>
                <w:i/>
                <w:color w:val="000000"/>
                <w:sz w:val="20"/>
              </w:rPr>
              <w:t>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А.Тимошин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В.В.Елисеев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14 қараша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