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3a61" w14:textId="45f3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2013 жылғы 25 желтоқсандағы № 5С 21/4 "2014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2014 жылғы 27 қазандағы № 5С 28/7 шешімі. Ақмола облысының Әділет департаментінде 2014 жылғы 13 қарашада № 4452 болып тіркелді. Қолданылу мерзімінің аяқталуына байланысты күші жойылды - (Ақмола облысы Атбасар аудандық мәслихатының 2015 жылғы 26 қаңтардағы № 18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26.01.2015 № 18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«2014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2013 жылғы 25 желтоқсандағы № 5С 21/4 (Нормативтік құқықтық актілерді мемлекеттік тіркеу тізілімінде № 3977 тіркелген, 2014 жылғы 31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«2014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А.Никишов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