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0ea6" w14:textId="a2c0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Атбасар ауданында халықтың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2014 жылғы 2 желтоқсандағы № а-12/549 қаулысы. Ақмола облысының Әділет департаментінде 2014 жылғы 25 желтоқсанда № 4529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туралы" Заңдарына сәйкес, нысаналы топтар құрамына кіретін және әлеуметтік қорғауда неғұрлым мұқтаж тұлғалардың жұмыспен қамтылуына көмек көрсету мақсатында,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топтарға жататын адамдардың бұған қосымша тізбесі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жасты қоса алғанда;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көп уақыт жұмыс істемейтін тұлғалар (бір жылдан артық);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отбасында бірде бір жұмыс істейтін адамдарды жоқ тұлғалар;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бұрын жұмыс істемеген тұлғалар;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елу жастан зейнеткерлік жасқа дейін жеткен тұлғалар (жасына байланысты зейнеткерлікке шығуға екі жыл қалған);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техникалық және кәсіптік білім беру оқу орындарының түлектері.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ауданы әкімінің орынбасары Ш.Е.Бекмағамбетоваға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