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458e" w14:textId="8494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11 наурыздағы № 5С-27-2 шешімі. Ақмола облысының Әділет департаментінде 2014 жылғы 11 сәуірде № 4089 болып тіркелді. Күші жойылды - Ақмола облысы Астрахан аудандық мәслихатының 2016 жылғы 23 желтоқсандағы № 6С-14-7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6С-14-7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3аңының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Астрахан ауданының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Астрахан ауданының бөлек жергілікті қоғамдастық жиындарын өткізудің қағидалары (бұдан әрі – Қағидалар)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"Бөлек жергілікті қоғамдастық жиындарын өткізудің үлгі қағидаларына" сәйкес әзірленді және Астрахан ауданының ауылдық округтердің, көшенің, көп пәтерлі тұрғын үйлердің ауыл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Астрахан ауданының, ауылдардың, ауылдық округтердің аумағындағы ауылдың, көшенің, көп 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Бөлек жиынды ауылдың, ауылдық округтің әкімі шақырады. Астрахан ауданы әкімінің жергілікті қоғамдастық жиынын өткізуге өз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Жергілікті қоғамдастық халқы бөлек жиындардың шақырылу уақыты, орны және талқыланатын мәселелер туралы аудандық "Маяк" газеті арқылы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Ауыл, көше, көп пәтерлі тұрғын үй шегінде бөлек жиынды өткізуді ауылдың,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Бөлек жиынды ашудың алдында тиісті ауылдың, көшенің, көп 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Бөлек жиынды ауыл,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Ауыл, 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Бөлек жиынның хаттамасын ресімдеу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Жергілікті қоғамдастық жиынына қатысу үшін ауыл, көше, көп пәтерлі тұрғын үй тұрғындары өкілдерінің кандидатураларын Астрахан ауданының ауылдың, ауылдық округтің аумағындағы ауылдың, көшенің, көп пәтерлі тұрғын үй тұрғындарының жалпы санының 1 % мөлшерінде ұсынады.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өкімімен бас бостандығынан айыру орындарындағы адамдардың қатысуға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қоғамдастық жиынына қатысу үшін ауыл, көше, көп пәтерлі тұрғын үй тұрғындары өкілдерінің саны тек өкілдік ету қағидасы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Бөлек жиында хаттама жүргізіледі, оған төраға мен хатшы қол қояды және оны ауыл, ауылдық округ әкімінің аппаратына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