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72a" w14:textId="27f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білім беру, әлеуметтік қамсыздандыру,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2014 жылғы 23 сәуірдегі № 126 қаулысы. Ақмола облысының Әділет департаментінде 2014 жылғы 15 мамырда № 4187 болып тіркелді. Күші жойылды - Ақмола облысы Астрахан ауданы әкімдігінің 2016 жылғы 20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атауы жаңа редакцияда - Ақмола облысы Астрахан ауданы әкімдігінің 20.05.2015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тізбесін келісу туралы» Астрахан аудандық мәслихатының 2014 жылғы 31 наурыздағы № 5С-28-4 шешімінің негізінде,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2014 жылдың 18 ақпанынан бастап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«23»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қаулысына қосымша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білім беру, әлеуметтік қамсыздандыру, мәдениет, спорт және ветеринария саласындағы мамандар лауазымдарының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Астрахан ауданы әкімдігінің 20.05.2015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басшысы, мемлекеттік мекеме мен қазыналық кәсіпорынның басшысының оқу, оқу-өндірістік, оқу-тәрбие, оқу-әдістемелік, тәрбие жұмысы жөніндегі орынбасары, бөлімше (сектор, бөлімше бөлігі (бөлімі) кабинет) басшысы,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аға), соның ішінде; барлық мамандықтағы мұғалімдер, кітапханашы, жетекші, тәрбиеші, емдәм бикесі, зертханашы, шебер, медициналық бике, әдістемеші, музыкалық жетекші, оқытушы,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меңгеруші, оның ішінде үйде көрсетілетін әлеуметтік көмек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соның ішінде; күтім жөніндегі әлеуметтік қызметкер,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орынбасары, бөлімше басшысы, 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жетекші, үйірме жетекшісі,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соның ішінде; аккомпаниатор, библиограф, кітапханашы, дыбыс режиссері, мәдени ұйымдастырушы, әдістемеші, редактор, режиссер, барлық атаудағы суретшілер.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аға), оның ішінде; барлық мамандықтағы дәрігерлер, нұсқаушы, әдістемеші, медициналық бике,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бөлімше басшысы (сектор, бөлімше, филиал);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оның ішінде; мал дәрігері, мал фельдшері, эпизоотолог, техник.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