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64f04" w14:textId="5564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ауданындағы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әлеуметтік қолдау шараларын ұсыну туралы</w:t>
      </w:r>
    </w:p>
    <w:p>
      <w:pPr>
        <w:spacing w:after="0"/>
        <w:ind w:left="0"/>
        <w:jc w:val="both"/>
      </w:pPr>
      <w:r>
        <w:rPr>
          <w:rFonts w:ascii="Times New Roman"/>
          <w:b w:val="false"/>
          <w:i w:val="false"/>
          <w:color w:val="000000"/>
          <w:sz w:val="28"/>
        </w:rPr>
        <w:t>Ақмола облысы Еңбекшілдер аудандық мәслихатының 2014 жылғы 23 желтоқсандағы № С-35/4 шешімі. Ақмола облысының Әділет департаментінде 2015 жылғы 16 қаңтарда № 4599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18 бабының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тармақтарына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Еңбекшілдер ауданындағы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келесі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 беру түрінде;</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бір мың бес жүз еселік айлық есептік көрсеткіштен аспайтын сомада бюджеттік кредит болып белгіленсін.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Ө.Жомартов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С.Есполов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А.Садуақасұлы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