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16b2" w14:textId="50c1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2014 жылғы 14 наурыздағы № С-25/3 шешімі. Ақмола облысының Әділет департаментінде 2014 жылғы 17 сәуірде № 4111 болып тіркелді. Күші жойылды - Ақмола облысы Шортанды аудандық мәслихатының 2016 жылғы 21 желтоқсандағы № С-11/5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Шортанды аудандық мәслихатының 21.12.2016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Шортанды ауданының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наурыздағы № 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Шортанды ауданының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Шортанды ауданының ауылдардың, кенттердің, ауылдық округтердің, ауылдың, көшенің, көппәтерлі тұрғын үй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Шортанды ауданының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кенттің,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Шортанды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аудандық "Өрлеу" және "Вести" газеттері арқылы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Ауыл, көше, көппәтерлі тұрғын үй шегінде бөлек жиынды өткізуді кенттің және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кент,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Кент, 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ауыл, көше, көппәтерлі тұрғын үй тұрғындары өкілдерінің кандидатураларын кенттің және ауылдық округтің аумағындағы ауылдың, көшенің, көппәтерлі тұрғын үй сайлаушыларының жалпы санының 1 % мөлшерінде бөлек жиынның қатысушылары ұсынады.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кент және ауылдық округ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