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04cf" w14:textId="0910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Бурабай ауданы әкімдігінің 2014 жылғы 7 ақпандағы № а-2/75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2014 жылғы 9 қыркүйектегі № а-9/560 қаулысы. Ақмола облысының Әділет департаментінде 2014 жылғы 9 қазанда № 4394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>, «Азаматтық қызметшiлерге, мемлекеттiк бюджет қаражаты есебiнен ұсталатын ұйымдардың қызметкерлерiне, қазыналық кәсiпорындардың қызметкерлерiне еңбекақы төлеу жүйесi туралы» Қазақстан Республикасы Үкiметiнiң 2007 жылғы 29 желтоқсандағы № 1400 қаулысына толықтыру енгізу туралы» Қазақстан Республикасы Үкіметінің 2014 жылғы 27 наурыздағы № 269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туралы» Бурабай ауданы әкімдігінің 2014 жылғы 7 ақпандағы № а-2/75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 (нормативтік құқықтық актілерді мемлекеттік тіркеу тізілімінде № 4031 тіркелген, «Луч» аудандық газетінде 2014 жылғы 20 наурыздағы № 22, «Бурабай» 2014 жылғы 20 наурыздағы № 12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қаулығы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Т.Ташмағамбетов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а-9/560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а-2/75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865"/>
        <w:gridCol w:w="892"/>
        <w:gridCol w:w="815"/>
        <w:gridCol w:w="1028"/>
        <w:gridCol w:w="941"/>
        <w:gridCol w:w="968"/>
        <w:gridCol w:w="1256"/>
        <w:gridCol w:w="1256"/>
        <w:gridCol w:w="1256"/>
        <w:gridCol w:w="945"/>
        <w:gridCol w:w="1094"/>
        <w:gridCol w:w="954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қаражаты есебінен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33380,2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33380,2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23905,8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1332"/>
        <w:gridCol w:w="1332"/>
        <w:gridCol w:w="1001"/>
        <w:gridCol w:w="1161"/>
        <w:gridCol w:w="1011"/>
        <w:gridCol w:w="1069"/>
        <w:gridCol w:w="1069"/>
        <w:gridCol w:w="1115"/>
        <w:gridCol w:w="1031"/>
        <w:gridCol w:w="1115"/>
        <w:gridCol w:w="10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